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xappinc_8k.htm"/>
      <w:bookmarkStart w:id="1" w:name="kscxappinc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6_edei--DocumentType_c20260630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 July 6, 2026 (</w:t>
      </w:r>
      <w:bookmarkStart w:id="3" w:name="xdx_90B_edei--DocumentPeriodEndDate_c202"/>
      <w:bookmarkEnd w:id="3"/>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F_edei--EntityRegistrantName_c2026"/>
      <w:bookmarkEnd w:id="4"/>
      <w:r>
        <w:rPr>
          <w:rFonts w:ascii="Times New Roman;Times;Serif" w:hAnsi="Times New Roman;Times;Serif"/>
          <w:b/>
          <w:i w:val="false"/>
          <w:caps w:val="false"/>
          <w:smallCaps w:val="false"/>
          <w:sz w:val="28"/>
        </w:rPr>
        <w:t>CXApp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5415" w:type="dxa"/>
        <w:jc w:val="left"/>
        <w:tblInd w:w="0" w:type="dxa"/>
        <w:tblLayout w:type="fixed"/>
        <w:tblCellMar>
          <w:top w:w="0" w:type="dxa"/>
          <w:left w:w="0" w:type="dxa"/>
          <w:bottom w:w="28" w:type="dxa"/>
          <w:right w:w="0" w:type="dxa"/>
        </w:tblCellMar>
      </w:tblPr>
      <w:tblGrid>
        <w:gridCol w:w="2270"/>
        <w:gridCol w:w="60"/>
        <w:gridCol w:w="1145"/>
        <w:gridCol w:w="60"/>
        <w:gridCol w:w="1880"/>
      </w:tblGrid>
      <w:tr>
        <w:trPr/>
        <w:tc>
          <w:tcPr>
            <w:tcW w:w="2270" w:type="dxa"/>
            <w:tcBorders>
              <w:bottom w:val="single" w:sz="8" w:space="0" w:color="000000"/>
            </w:tcBorders>
            <w:vAlign w:val="center"/>
          </w:tcPr>
          <w:p>
            <w:pPr>
              <w:pStyle w:val="TableContents"/>
              <w:bidi w:val="0"/>
              <w:spacing w:before="0" w:after="283"/>
              <w:jc w:val="center"/>
              <w:rPr>
                <w:b/>
              </w:rPr>
            </w:pPr>
            <w:bookmarkStart w:id="5" w:name="xdx_900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8" w:space="0" w:color="000000"/>
            </w:tcBorders>
            <w:vAlign w:val="center"/>
          </w:tcPr>
          <w:p>
            <w:pPr>
              <w:pStyle w:val="TableContents"/>
              <w:bidi w:val="0"/>
              <w:spacing w:before="0" w:after="283"/>
              <w:jc w:val="center"/>
              <w:rPr>
                <w:b/>
              </w:rPr>
            </w:pPr>
            <w:bookmarkStart w:id="6" w:name="xdx_905_edei--EntityFileNumber_c20260630"/>
            <w:bookmarkEnd w:id="6"/>
            <w:r>
              <w:rPr>
                <w:b/>
              </w:rPr>
              <w:t>001-39642</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8" w:space="0" w:color="000000"/>
            </w:tcBorders>
            <w:vAlign w:val="center"/>
          </w:tcPr>
          <w:p>
            <w:pPr>
              <w:pStyle w:val="TableContents"/>
              <w:bidi w:val="0"/>
              <w:spacing w:before="0" w:after="283"/>
              <w:jc w:val="center"/>
              <w:rPr>
                <w:b/>
              </w:rPr>
            </w:pPr>
            <w:bookmarkStart w:id="7" w:name="xdx_90F_edei--EntityTaxIdentificationNum"/>
            <w:bookmarkEnd w:id="7"/>
            <w:r>
              <w:rPr>
                <w:b/>
              </w:rPr>
              <w:t>85-2104918</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80" w:type="dxa"/>
            <w:tcBorders/>
            <w:tcMar>
              <w:bottom w:w="0" w:type="dxa"/>
            </w:tcMar>
            <w:vAlign w:val="center"/>
          </w:tcPr>
          <w:p>
            <w:pPr>
              <w:pStyle w:val="TableContents"/>
              <w:bidi w:val="0"/>
              <w:spacing w:before="0" w:after="283"/>
              <w:jc w:val="center"/>
              <w:rPr>
                <w:b/>
                <w:i w:val="false"/>
                <w:caps w:val="false"/>
                <w:smallCaps w:val="false"/>
              </w:rPr>
            </w:pPr>
            <w:r>
              <w:rPr>
                <w:b/>
                <w:i w:val="false"/>
                <w:caps w:val="false"/>
                <w:smallCaps w:val="false"/>
              </w:rPr>
              <w:t>(I.R.S. Employer</w:t>
              <w:b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140" w:type="dxa"/>
        <w:jc w:val="left"/>
        <w:tblInd w:w="0" w:type="dxa"/>
        <w:tblLayout w:type="fixed"/>
        <w:tblCellMar>
          <w:top w:w="0" w:type="dxa"/>
          <w:left w:w="0" w:type="dxa"/>
          <w:bottom w:w="28" w:type="dxa"/>
          <w:right w:w="0" w:type="dxa"/>
        </w:tblCellMar>
      </w:tblPr>
      <w:tblGrid>
        <w:gridCol w:w="3935"/>
        <w:gridCol w:w="60"/>
        <w:gridCol w:w="1145"/>
      </w:tblGrid>
      <w:tr>
        <w:trPr/>
        <w:tc>
          <w:tcPr>
            <w:tcW w:w="393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Four Palo Alto Square, </w:t>
            </w:r>
            <w:bookmarkStart w:id="9" w:name="xdx_904_edei--EntityAddressAddressLine2_"/>
            <w:bookmarkEnd w:id="9"/>
            <w:r>
              <w:rPr>
                <w:rFonts w:ascii="Times New Roman;Times;Serif" w:hAnsi="Times New Roman;Times;Serif"/>
                <w:b/>
                <w:i w:val="false"/>
                <w:caps w:val="false"/>
                <w:smallCaps w:val="false"/>
                <w:sz w:val="20"/>
              </w:rPr>
              <w:t>Suite 200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AddressLine3_"/>
            <w:bookmarkEnd w:id="10"/>
            <w:r>
              <w:rPr>
                <w:rFonts w:ascii="Times New Roman;Times;Serif" w:hAnsi="Times New Roman;Times;Serif"/>
                <w:b/>
                <w:i w:val="false"/>
                <w:caps w:val="false"/>
                <w:smallCaps w:val="false"/>
                <w:sz w:val="20"/>
              </w:rPr>
              <w:t>3000 El Camino Real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4_edei--EntityAddressCityOrTown_c2"/>
            <w:bookmarkEnd w:id="11"/>
            <w:r>
              <w:rPr>
                <w:rFonts w:ascii="Times New Roman;Times;Serif" w:hAnsi="Times New Roman;Times;Serif"/>
                <w:b/>
                <w:i w:val="false"/>
                <w:caps w:val="false"/>
                <w:smallCaps w:val="false"/>
                <w:sz w:val="20"/>
              </w:rPr>
              <w:t xml:space="preserve">California, </w:t>
            </w:r>
            <w:bookmarkStart w:id="12" w:name="xdx_902_edei--EntityAddressStateOrProvin"/>
            <w:bookmarkEnd w:id="12"/>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8" w:space="0" w:color="000000"/>
            </w:tcBorders>
            <w:vAlign w:val="center"/>
          </w:tcPr>
          <w:p>
            <w:pPr>
              <w:pStyle w:val="TableContents"/>
              <w:bidi w:val="0"/>
              <w:spacing w:before="0" w:after="283"/>
              <w:jc w:val="center"/>
              <w:rPr>
                <w:b/>
              </w:rPr>
            </w:pPr>
            <w:bookmarkStart w:id="13" w:name="xdx_90A_edei--EntityAddressPostalZipCode"/>
            <w:bookmarkEnd w:id="13"/>
            <w:r>
              <w:rPr>
                <w:b/>
              </w:rPr>
              <w:t>94306</w:t>
            </w:r>
          </w:p>
        </w:tc>
      </w:tr>
      <w:tr>
        <w:trPr/>
        <w:tc>
          <w:tcPr>
            <w:tcW w:w="3935" w:type="dxa"/>
            <w:tcBorders/>
            <w:tcMar>
              <w:bottom w:w="0" w:type="dxa"/>
            </w:tcMar>
            <w:vAlign w:val="center"/>
          </w:tcPr>
          <w:p>
            <w:pPr>
              <w:pStyle w:val="TableContents"/>
              <w:bidi w:val="0"/>
              <w:spacing w:before="0" w:after="283"/>
              <w:jc w:val="center"/>
              <w:rPr>
                <w:b/>
                <w:i w:val="false"/>
                <w:caps w:val="false"/>
                <w:smallCaps w:val="false"/>
              </w:rPr>
            </w:pPr>
            <w:r>
              <w:rPr>
                <w:b/>
                <w:i w:val="false"/>
                <w:caps w:val="false"/>
                <w:smallCaps w:val="false"/>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b/>
                <w:i w:val="false"/>
                <w:caps w:val="false"/>
                <w:smallCaps w:val="false"/>
              </w:rPr>
            </w:pPr>
            <w:r>
              <w:rPr>
                <w:b/>
                <w:i w:val="false"/>
                <w:caps w:val="false"/>
                <w:smallCaps w:val="false"/>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5_edei--CityAreaCode_c20260630__20"/>
      <w:bookmarkEnd w:id="14"/>
      <w:r>
        <w:rPr>
          <w:rFonts w:ascii="Times New Roman;Times;Serif" w:hAnsi="Times New Roman;Times;Serif"/>
          <w:b/>
          <w:i w:val="false"/>
          <w:caps w:val="false"/>
          <w:smallCaps w:val="false"/>
          <w:sz w:val="20"/>
        </w:rPr>
        <w:t xml:space="preserve">(650) </w:t>
      </w:r>
      <w:bookmarkStart w:id="15" w:name="xdx_905_edei--LocalPhoneNumber_c20260630"/>
      <w:bookmarkEnd w:id="15"/>
      <w:r>
        <w:rPr>
          <w:rFonts w:ascii="Times New Roman;Times;Serif" w:hAnsi="Times New Roman;Times;Serif"/>
          <w:b/>
          <w:i w:val="false"/>
          <w:caps w:val="false"/>
          <w:smallCaps w:val="false"/>
          <w:sz w:val="20"/>
        </w:rPr>
        <w:t>785-7171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B_edei--WrittenCommunications_c202"/>
            <w:bookmarkEnd w:id="16"/>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720" w:right="0" w:hanging="72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8_edei--SolicitingMaterial_c202606"/>
            <w:bookmarkEnd w:id="17"/>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72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2_edei--PreCommencementTenderOffer"/>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720" w:right="0" w:hanging="72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A_edei--PreCommencementIssuerTende"/>
            <w:bookmarkEnd w:id="19"/>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17"/>
        <w:gridCol w:w="60"/>
        <w:gridCol w:w="1846"/>
        <w:gridCol w:w="60"/>
        <w:gridCol w:w="4222"/>
      </w:tblGrid>
      <w:tr>
        <w:trPr/>
        <w:tc>
          <w:tcPr>
            <w:tcW w:w="4017"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46"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22"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4017" w:type="dxa"/>
            <w:tcBorders/>
            <w:shd w:fill="CCEEFF" w:val="clear"/>
            <w:tcMar>
              <w:bottom w:w="0" w:type="dxa"/>
            </w:tcMar>
            <w:vAlign w:val="center"/>
          </w:tcPr>
          <w:p>
            <w:pPr>
              <w:pStyle w:val="TableContents"/>
              <w:bidi w:val="0"/>
              <w:spacing w:before="0" w:after="283"/>
              <w:jc w:val="center"/>
              <w:rPr/>
            </w:pPr>
            <w:bookmarkStart w:id="20" w:name="xdx_906_edei--Security12bTitle_c20260630"/>
            <w:bookmarkEnd w:id="20"/>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46" w:type="dxa"/>
            <w:tcBorders/>
            <w:shd w:fill="CCEEFF" w:val="clear"/>
            <w:tcMar>
              <w:bottom w:w="0" w:type="dxa"/>
            </w:tcMar>
            <w:vAlign w:val="center"/>
          </w:tcPr>
          <w:p>
            <w:pPr>
              <w:pStyle w:val="TableContents"/>
              <w:bidi w:val="0"/>
              <w:spacing w:before="0" w:after="283"/>
              <w:jc w:val="center"/>
              <w:rPr/>
            </w:pPr>
            <w:bookmarkStart w:id="21" w:name="xdx_90B_edei--TradingSymbol_c20260630__2"/>
            <w:bookmarkEnd w:id="21"/>
            <w:r>
              <w:rPr/>
              <w:t>CXAI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22" w:type="dxa"/>
            <w:tcBorders/>
            <w:shd w:fill="CCEEFF" w:val="clear"/>
            <w:tcMar>
              <w:bottom w:w="0" w:type="dxa"/>
            </w:tcMar>
            <w:vAlign w:val="center"/>
          </w:tcPr>
          <w:p>
            <w:pPr>
              <w:pStyle w:val="TableContents"/>
              <w:bidi w:val="0"/>
              <w:spacing w:before="0" w:after="283"/>
              <w:jc w:val="center"/>
              <w:rPr/>
            </w:pPr>
            <w:r>
              <w:rPr/>
              <w:t xml:space="preserve">The </w:t>
            </w:r>
            <w:bookmarkStart w:id="22" w:name="xdx_90D_edei--SecurityExchangeName_c2026"/>
            <w:bookmarkEnd w:id="22"/>
            <w:r>
              <w:rPr/>
              <w:t>Nasdaq Stock Market LLC</w:t>
            </w:r>
          </w:p>
        </w:tc>
      </w:tr>
      <w:tr>
        <w:trPr/>
        <w:tc>
          <w:tcPr>
            <w:tcW w:w="4017" w:type="dxa"/>
            <w:tcBorders/>
            <w:shd w:fill="FFFFFF" w:val="clear"/>
            <w:tcMar>
              <w:bottom w:w="0" w:type="dxa"/>
            </w:tcMar>
            <w:vAlign w:val="center"/>
          </w:tcPr>
          <w:p>
            <w:pPr>
              <w:pStyle w:val="TableContents"/>
              <w:bidi w:val="0"/>
              <w:spacing w:before="0" w:after="283"/>
              <w:jc w:val="center"/>
              <w:rPr/>
            </w:pPr>
            <w:bookmarkStart w:id="23" w:name="xdx_901_edei--Security12bTitle_c20260630"/>
            <w:bookmarkEnd w:id="23"/>
            <w:r>
              <w:rPr/>
              <w:t>Warrants to purchase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46" w:type="dxa"/>
            <w:tcBorders/>
            <w:shd w:fill="FFFFFF" w:val="clear"/>
            <w:tcMar>
              <w:bottom w:w="0" w:type="dxa"/>
            </w:tcMar>
            <w:vAlign w:val="center"/>
          </w:tcPr>
          <w:p>
            <w:pPr>
              <w:pStyle w:val="TableContents"/>
              <w:bidi w:val="0"/>
              <w:spacing w:before="0" w:after="283"/>
              <w:jc w:val="center"/>
              <w:rPr/>
            </w:pPr>
            <w:bookmarkStart w:id="24" w:name="xdx_90C_edei--TradingSymbol_c20260630__2"/>
            <w:bookmarkEnd w:id="24"/>
            <w:r>
              <w:rPr/>
              <w:t>CXAIW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22" w:type="dxa"/>
            <w:tcBorders/>
            <w:shd w:fill="FFFFFF" w:val="clear"/>
            <w:tcMar>
              <w:bottom w:w="0" w:type="dxa"/>
            </w:tcMar>
            <w:vAlign w:val="center"/>
          </w:tcPr>
          <w:p>
            <w:pPr>
              <w:pStyle w:val="TableContents"/>
              <w:bidi w:val="0"/>
              <w:spacing w:before="0" w:after="283"/>
              <w:jc w:val="center"/>
              <w:rPr/>
            </w:pPr>
            <w:r>
              <w:rPr/>
              <w:t xml:space="preserve">The </w:t>
            </w:r>
            <w:bookmarkStart w:id="25" w:name="xdx_909_edei--SecurityExchangeName_c2026"/>
            <w:bookmarkEnd w:id="25"/>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C_edei--EntityEmergingGrowthCompan"/>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the Company’s Current Report on Form 8-K filed on June 3, 2026, CXApp Inc. (“</w:t>
      </w:r>
      <w:r>
        <w:rPr>
          <w:rFonts w:ascii="Times New Roman;Times;Serif" w:hAnsi="Times New Roman;Times;Serif"/>
          <w:b/>
          <w:i w:val="false"/>
          <w:caps w:val="false"/>
          <w:smallCaps w:val="false"/>
          <w:sz w:val="20"/>
        </w:rPr>
        <w:t>CXAI</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through its wholly owned subsidiary, CXAI Australia Pty Ltd (“</w:t>
      </w:r>
      <w:r>
        <w:rPr>
          <w:rFonts w:ascii="Times New Roman;Times;Serif" w:hAnsi="Times New Roman;Times;Serif"/>
          <w:b/>
          <w:i w:val="false"/>
          <w:caps w:val="false"/>
          <w:smallCaps w:val="false"/>
          <w:sz w:val="20"/>
        </w:rPr>
        <w:t>CXAI Australia</w:t>
      </w:r>
      <w:r>
        <w:rPr>
          <w:rFonts w:ascii="Times New Roman;Times;Serif" w:hAnsi="Times New Roman;Times;Serif"/>
          <w:b w:val="false"/>
          <w:i w:val="false"/>
          <w:caps w:val="false"/>
          <w:smallCaps w:val="false"/>
          <w:sz w:val="20"/>
        </w:rPr>
        <w:t>”), completed the acquisition (the “</w:t>
      </w:r>
      <w:r>
        <w:rPr>
          <w:rFonts w:ascii="Times New Roman;Times;Serif" w:hAnsi="Times New Roman;Times;Serif"/>
          <w:b/>
          <w:i w:val="false"/>
          <w:caps w:val="false"/>
          <w:smallCaps w:val="false"/>
          <w:sz w:val="20"/>
        </w:rPr>
        <w:t>Acquisition</w:t>
      </w:r>
      <w:r>
        <w:rPr>
          <w:rFonts w:ascii="Times New Roman;Times;Serif" w:hAnsi="Times New Roman;Times;Serif"/>
          <w:b w:val="false"/>
          <w:i w:val="false"/>
          <w:caps w:val="false"/>
          <w:smallCaps w:val="false"/>
          <w:sz w:val="20"/>
        </w:rPr>
        <w:t>”) of 100% of the issued and outstanding equity interests of Virtus Digital Marketing Pty Ltd dba Engine Room Applications (“</w:t>
      </w:r>
      <w:r>
        <w:rPr>
          <w:rFonts w:ascii="Times New Roman;Times;Serif" w:hAnsi="Times New Roman;Times;Serif"/>
          <w:b/>
          <w:i w:val="false"/>
          <w:caps w:val="false"/>
          <w:smallCaps w:val="false"/>
          <w:sz w:val="20"/>
        </w:rPr>
        <w:t>EngineRoom</w:t>
      </w:r>
      <w:r>
        <w:rPr>
          <w:rFonts w:ascii="Times New Roman;Times;Serif" w:hAnsi="Times New Roman;Times;Serif"/>
          <w:b w:val="false"/>
          <w:i w:val="false"/>
          <w:caps w:val="false"/>
          <w:smallCaps w:val="false"/>
          <w:sz w:val="20"/>
        </w:rPr>
        <w:t>”) on June 3, 2026, pursuant to that certain Share Sale Deed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June 3, 2026, by and among the Company, CXAI Australia and EngineRoom. This Current Report on Form 8-K is being filed to report certain matters arising in connection with the Acquisition.</w:t>
      </w:r>
    </w:p>
    <w:p>
      <w:pPr>
        <w:pStyle w:val="TextBody"/>
        <w:bidi w:val="0"/>
        <w:spacing w:before="0" w:after="0"/>
        <w:jc w:val="both"/>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81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4.01</w:t>
            </w:r>
          </w:p>
        </w:tc>
        <w:tc>
          <w:tcPr>
            <w:tcW w:w="39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Registrant’s Certifying Accountant.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the Audit Committee (the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of the Board of Directors of the Company dismissed WithumSmith+Brown, PC (“</w:t>
      </w:r>
      <w:r>
        <w:rPr>
          <w:rFonts w:ascii="Times New Roman;Times;Serif" w:hAnsi="Times New Roman;Times;Serif"/>
          <w:b/>
          <w:i w:val="false"/>
          <w:caps w:val="false"/>
          <w:smallCaps w:val="false"/>
          <w:sz w:val="20"/>
        </w:rPr>
        <w:t>Withum</w:t>
      </w:r>
      <w:r>
        <w:rPr>
          <w:rFonts w:ascii="Times New Roman;Times;Serif" w:hAnsi="Times New Roman;Times;Serif"/>
          <w:b w:val="false"/>
          <w:i w:val="false"/>
          <w:caps w:val="false"/>
          <w:smallCaps w:val="false"/>
          <w:sz w:val="20"/>
        </w:rPr>
        <w:t>”) as the Company’s independent registered public accounting firm. The Committee approved the dismissal. Also on June 30, 2026, the Committee appointed KNAV CPA LLP (“</w:t>
      </w:r>
      <w:r>
        <w:rPr>
          <w:rFonts w:ascii="Times New Roman;Times;Serif" w:hAnsi="Times New Roman;Times;Serif"/>
          <w:b/>
          <w:i w:val="false"/>
          <w:caps w:val="false"/>
          <w:smallCaps w:val="false"/>
          <w:sz w:val="20"/>
        </w:rPr>
        <w:t>KNAV</w:t>
      </w:r>
      <w:r>
        <w:rPr>
          <w:rFonts w:ascii="Times New Roman;Times;Serif" w:hAnsi="Times New Roman;Times;Serif"/>
          <w:b w:val="false"/>
          <w:i w:val="false"/>
          <w:caps w:val="false"/>
          <w:smallCaps w:val="false"/>
          <w:sz w:val="20"/>
        </w:rPr>
        <w:t>”) as the Company’s independent registered public accounting firm for the Company’s fiscal year ending December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reports of Withum on the Company’s consolidated financial statements for the fiscal years ended December 31, 2025 and 2024 did not contain any adverse opinion or a disclaimer of opinion and was not qualified or modified as to uncertainty, audit scope, or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fiscal years ended December 31, 2025 and 2024 and the subsequent interim period through the date of Withum’s dismissal, there were no “disagreements,” as described in Item 304(a)(1)(iv) of Regulation S-K, with Withum on any matter of accounting principles or practices, financial statement disclosure, or auditing scope or procedure, which, if not resolved to Withum’s satisfaction, would have caused Withum to make reference to the subject matter of the disagreement in its reports on the company’s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fiscal years ended December 31, 2025 and 2024 and the subsequent interim period through the date of Withum’s dismissal, there were no “reportable events,” as defined in Item 304(a)(1)(v) of Regulation S-K, except that, as disclosed in the Company’s Form 10-K for the year ended December 31, 2024, management identified material weaknesses in internal control over financial reporting relating to (i) income tax accruals, (ii) period-end expense accruals, and (iii) the identification and fair value accounting for embedded derivatives. These material weaknesses rendered internal control over financial reporting not effective as of December 31, 2024 and resulted in the restatement of the Company’s unaudited interim financial statements for the quarters ended June 30, 2024 and September 30, 2024. As disclosed in the Company’s Form 10-K for the year ended December 31, 2025, these material weaknesses were fully remediated as of December 31,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discussed such reportable events with Withum and the Company has authorized Withum to respond fully to the inquiries of KNAV concerning such reportable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Withum with a copy of this current Report on Form 8-K prior to its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requested that Withum furnish the Company with a letter addressed to the SEC stating whether it agrees with the above statements and, if not, stating the respects in which it does not agree. A copy of Withum’s letter, dated as of July 6, 2026, is filed as Exhibit 16.1 to this Current Report on Form 8-K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ended December 31, 2025 and 2024 and the subsequent interim period through the date of Withum’s dismissal, neither the Company nor anyone acting on its behalf consulted with KNAV regarding: (i) the application of accounting principles to a specified transaction, either completed or proposed, or the type of audit opinion that might be rendered on the Company’s financial statements, and neither a written report nor oral advice was provided to the Company that KNAV concluded was an important factor considered by the Company in reaching a decision as to the accounting, auditing or financial reporting issue; or (ii) any matter that was either the subject of a “disagreement” (as described in Item 304(a)(1)(iv) of Regulation S-K) or a “reportable event” (as defined in Item 304(a)(1)(v) of Regulation 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15"/>
        <w:gridCol w:w="9352"/>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35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Departure of Chief Financial Officer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Joy L. Mbanugo, the former Chief Financial Officer, was separated from the Company effective June 29th, 2026. Ms. Mbanugo’s separation was not the result of any disagreement with the Company, its management or its Board of Directors on any matter relating to its operations, policies or practices. Ms. Mbanugo’s separation from employment will be treated per her employment agreement with the Company dated July 18,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Interim Chief Financial Officer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1st, 2026, the Board of Directors of CXApp appointed Melissa G. Podruzny to serve as the Interim Chief Financial Officer of the Company, succeeding Ms. Mbanugo who previously served as the Chief Financial Officer. The appointment is for an initial three-month transition period, commencing July 1st, 2026, in connection with the Company’s acquisition and integration of EngineRoom and the ongoing optimization of the Company’s finance organization. Ms. Podruzny will be reporting to the Chief Executive Officer and subject to the oversight of the Audit Committee of the Board of Directors.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Podruzny, 41, has served as Head of Finance of EngineRoom since January 2024, having joined the company as Finance Manager in May 2023. From January 2024 to December 2025, she concurrently served as Fractional Controller of E-LAB Consulting. Ms. Podruzny is also a co-owner of Refracted Aspect Collective, a consultancy through which she provides financial and operational services. Before joining EngineRoom, Ms. Podruzny served as Finance Manager and Business Intelligence Analyst at Omnii Pty Ltd from February 2020 to May 2023. Ms. Podruzny holds a Certificate IV in Accounting and Bookkeeping, along with professional certifications in finance and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 of Ms. Podruzny as the Company’s Interim Chief Financial Officer, the Company entered into a letter agreement with Ms. Podruzny (the “</w:t>
      </w:r>
      <w:r>
        <w:rPr>
          <w:rFonts w:ascii="Times New Roman;Times;Serif" w:hAnsi="Times New Roman;Times;Serif"/>
          <w:b/>
          <w:i w:val="false"/>
          <w:caps w:val="false"/>
          <w:smallCaps w:val="false"/>
          <w:sz w:val="20"/>
        </w:rPr>
        <w:t>Appointment Letter</w:t>
      </w:r>
      <w:r>
        <w:rPr>
          <w:rFonts w:ascii="Times New Roman;Times;Serif" w:hAnsi="Times New Roman;Times;Serif"/>
          <w:b w:val="false"/>
          <w:i w:val="false"/>
          <w:caps w:val="false"/>
          <w:smallCaps w:val="false"/>
          <w:sz w:val="20"/>
        </w:rPr>
        <w:t>”). Pursuant to the Appointment Letter, Ms. Podruzny will continue to receive her existing annual base salary of CAD $141,180. In recognition of the additional responsibilities associated with serving as Interim Chief Financial Officer, Ms. Podruzny will also receive (i) an interim assignment premium of an additional CAD $30,000, payable over the three-month interim period through the Company’s normal payroll practices, and (ii) a transition completion bonus of CAD $20,000, payable upon successful completion of the interim period, subject to the achievement of certain performance objectives and the approval of the Chief Executive Officer and the Compensation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Appointment Letter, Ms. Podruzny will also receive a non-qualified stock option grant covering 50,000 shares of the Company’s common stock (the “</w:t>
      </w:r>
      <w:r>
        <w:rPr>
          <w:rFonts w:ascii="Times New Roman;Times;Serif" w:hAnsi="Times New Roman;Times;Serif"/>
          <w:b/>
          <w:i w:val="false"/>
          <w:caps w:val="false"/>
          <w:smallCaps w:val="false"/>
          <w:sz w:val="20"/>
        </w:rPr>
        <w:t>Stock Options</w:t>
      </w:r>
      <w:r>
        <w:rPr>
          <w:rFonts w:ascii="Times New Roman;Times;Serif" w:hAnsi="Times New Roman;Times;Serif"/>
          <w:b w:val="false"/>
          <w:i w:val="false"/>
          <w:caps w:val="false"/>
          <w:smallCaps w:val="false"/>
          <w:sz w:val="20"/>
        </w:rPr>
        <w:t>”). The Stock Options (i) will be subject to the terms and conditions of the Company’s 2023 Equity Incentive Plan and an applicable stock option agreement, (ii) are subject to the approval of the Company’s Board of Directors, (iii) will have an exercise price equal to the fair market value of the Company’s common stock on the grant date, and (iv) will vest over twenty-four months, subject to a one-year cliff, with 25,000 options becoming vested on the first anniversary of the grant date and the remaining 25,000 options vesting in equal monthly installments over the following twelve months, in each case subject to Ms. Podruzny’s continued employment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Letter provides for a term that is at-will, with the initial three-month period subject to extension by mutual agreement or earlier termination by the Company. The Company may extend the appointment should business needs require continued interim financial leadership. The Appointment Letter also provides that Ms. Podruzny will continue to comply with the Company’s confidentiality policies, insider trading policies, codes of business conduct, and applicable federal securities laws governing officers of a publicly traded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a summary of the Appointment Letter and is not intended to be a complete description. It is qualified in its entirety by reference to the full text of the Appointment Letter, which is filed as Exhibit 10.1 hereto, as well as the 2023 Equity Incentive Plan and the related form of award agreements, previously filed as exhibits to the Company’s reports with the Securities and Exchange Commission and incorporated herein by reference in their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Ms. Podruzny and any other person pursuant to which Ms. Podruzny was appointed as Chief Financial Officer. There are also no family relationships between Ms. Podruzny and any director or executive officer of the Company. In addition, Ms. Podruzny has no direct or indirect material interest in any “related person” transaction or proposed transaction required to be disclosed pursuant to Item 404(a) of Regulation 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9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67"/>
        <w:gridCol w:w="60"/>
        <w:gridCol w:w="8978"/>
      </w:tblGrid>
      <w:tr>
        <w:trPr/>
        <w:tc>
          <w:tcPr>
            <w:tcW w:w="1167"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78"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167" w:type="dxa"/>
            <w:tcBorders/>
            <w:shd w:fill="CCEEFF" w:val="clear"/>
            <w:tcMar>
              <w:bottom w:w="0" w:type="dxa"/>
            </w:tcMar>
            <w:vAlign w:val="center"/>
          </w:tcPr>
          <w:p>
            <w:pPr>
              <w:pStyle w:val="TableContents"/>
              <w:bidi w:val="0"/>
              <w:spacing w:before="0" w:after="283"/>
              <w:jc w:val="center"/>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78" w:type="dxa"/>
            <w:tcBorders/>
            <w:shd w:fill="CCEEFF" w:val="clear"/>
            <w:tcMar>
              <w:bottom w:w="0" w:type="dxa"/>
            </w:tcMar>
            <w:vAlign w:val="center"/>
          </w:tcPr>
          <w:p>
            <w:pPr>
              <w:pStyle w:val="TableContents"/>
              <w:bidi w:val="0"/>
              <w:spacing w:before="0" w:after="283"/>
              <w:jc w:val="left"/>
              <w:rPr/>
            </w:pPr>
            <w:hyperlink w:anchor="cxappinc_ex10-1.htm">
              <w:r>
                <w:rPr>
                  <w:rStyle w:val="InternetLink"/>
                </w:rPr>
                <w:t>Appointment Letter, dated as of July 1, 2026 by and between CXApp Inc. and Melissa G. Podruzny</w:t>
              </w:r>
            </w:hyperlink>
          </w:p>
        </w:tc>
      </w:tr>
      <w:tr>
        <w:trPr/>
        <w:tc>
          <w:tcPr>
            <w:tcW w:w="1167" w:type="dxa"/>
            <w:tcBorders/>
            <w:shd w:fill="FFFFFF" w:val="clear"/>
            <w:tcMar>
              <w:bottom w:w="0" w:type="dxa"/>
            </w:tcMar>
            <w:vAlign w:val="center"/>
          </w:tcPr>
          <w:p>
            <w:pPr>
              <w:pStyle w:val="TableContents"/>
              <w:bidi w:val="0"/>
              <w:spacing w:before="0" w:after="283"/>
              <w:jc w:val="center"/>
              <w:rPr/>
            </w:pPr>
            <w:r>
              <w:rPr/>
              <w:t>16.1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78" w:type="dxa"/>
            <w:tcBorders/>
            <w:shd w:fill="FFFFFF" w:val="clear"/>
            <w:tcMar>
              <w:bottom w:w="0" w:type="dxa"/>
            </w:tcMar>
            <w:vAlign w:val="center"/>
          </w:tcPr>
          <w:p>
            <w:pPr>
              <w:pStyle w:val="TableContents"/>
              <w:bidi w:val="0"/>
              <w:spacing w:before="0" w:after="283"/>
              <w:jc w:val="left"/>
              <w:rPr/>
            </w:pPr>
            <w:hyperlink w:anchor="cxappinc_ex16-1.htm">
              <w:r>
                <w:rPr>
                  <w:rStyle w:val="InternetLink"/>
                </w:rPr>
                <w:t>Letter from WithumSmith+Brown, PC to the Securities and Exchange Commission dated July 6, 2026</w:t>
              </w:r>
            </w:hyperlink>
          </w:p>
        </w:tc>
      </w:tr>
      <w:tr>
        <w:trPr/>
        <w:tc>
          <w:tcPr>
            <w:tcW w:w="1167" w:type="dxa"/>
            <w:tcBorders/>
            <w:shd w:fill="CCEEFF" w:val="clear"/>
            <w:tcMar>
              <w:bottom w:w="0" w:type="dxa"/>
            </w:tcMar>
            <w:vAlign w:val="center"/>
          </w:tcPr>
          <w:p>
            <w:pPr>
              <w:pStyle w:val="TableContents"/>
              <w:bidi w:val="0"/>
              <w:spacing w:before="0" w:after="283"/>
              <w:jc w:val="center"/>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78" w:type="dxa"/>
            <w:tcBorders/>
            <w:shd w:fill="CCEE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1520"/>
        <w:gridCol w:w="320"/>
        <w:gridCol w:w="545"/>
        <w:gridCol w:w="3140"/>
      </w:tblGrid>
      <w:tr>
        <w:trPr/>
        <w:tc>
          <w:tcPr>
            <w:tcW w:w="1520" w:type="dxa"/>
            <w:tcBorders/>
            <w:vAlign w:val="center"/>
          </w:tcPr>
          <w:p>
            <w:pPr>
              <w:pStyle w:val="TableContents"/>
              <w:bidi w:val="0"/>
              <w:spacing w:before="0" w:after="283"/>
              <w:jc w:val="left"/>
              <w:rPr/>
            </w:pPr>
            <w:r>
              <w:rPr/>
              <w:t> </w:t>
            </w:r>
          </w:p>
        </w:tc>
        <w:tc>
          <w:tcPr>
            <w:tcW w:w="400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CXApp Inc.</w:t>
            </w:r>
          </w:p>
        </w:tc>
      </w:tr>
      <w:tr>
        <w:trPr/>
        <w:tc>
          <w:tcPr>
            <w:tcW w:w="1520" w:type="dxa"/>
            <w:tcBorders/>
            <w:vAlign w:val="center"/>
          </w:tcPr>
          <w:p>
            <w:pPr>
              <w:pStyle w:val="TableContents"/>
              <w:bidi w:val="0"/>
              <w:spacing w:before="0" w:after="283"/>
              <w:jc w:val="left"/>
              <w:rPr/>
            </w:pPr>
            <w:r>
              <w:rPr/>
              <w:t> </w:t>
            </w:r>
          </w:p>
        </w:tc>
        <w:tc>
          <w:tcPr>
            <w:tcW w:w="4005" w:type="dxa"/>
            <w:gridSpan w:val="3"/>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8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Khurram P. Sheikh</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Khurram P. Sheikh</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jc w:val="left"/>
        <w:rPr>
          <w:caps w:val="false"/>
          <w:smallCaps w:val="false"/>
        </w:rPr>
      </w:pPr>
      <w:bookmarkStart w:id="27" w:name="cxappinc_ex10-1.htm"/>
      <w:bookmarkStart w:id="28" w:name="kscxappinc_ex101"/>
      <w:bookmarkEnd w:id="27"/>
      <w:bookmarkEnd w:id="2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36"/>
        </w:rPr>
      </w:pPr>
      <w:r>
        <w:rPr>
          <w:rFonts w:ascii="Times New Roman" w:hAnsi="Times New Roman"/>
          <w:b/>
          <w:i w:val="false"/>
          <w:caps w:val="false"/>
          <w:smallCaps w:val="false"/>
          <w:sz w:val="36"/>
        </w:rPr>
        <w:t>CXAI</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8"/>
        </w:rPr>
      </w:pPr>
      <w:r>
        <w:rPr>
          <w:rFonts w:ascii="Times New Roman" w:hAnsi="Times New Roman"/>
          <w:b/>
          <w:i w:val="false"/>
          <w:caps w:val="false"/>
          <w:smallCaps w:val="false"/>
          <w:sz w:val="28"/>
        </w:rPr>
        <w:t>Interim Chief Financial Officer Appointment Letter &amp; Statement of Responsibilities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Employee:</w:t>
      </w:r>
      <w:r>
        <w:rPr>
          <w:rFonts w:ascii="Times New Roman" w:hAnsi="Times New Roman"/>
          <w:b w:val="false"/>
          <w:i w:val="false"/>
          <w:caps w:val="false"/>
          <w:smallCaps w:val="false"/>
          <w:sz w:val="20"/>
        </w:rPr>
        <w:t> Melissa Podruzny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Title:</w:t>
      </w:r>
      <w:r>
        <w:rPr>
          <w:rFonts w:ascii="Times New Roman" w:hAnsi="Times New Roman"/>
          <w:b w:val="false"/>
          <w:i w:val="false"/>
          <w:caps w:val="false"/>
          <w:smallCaps w:val="false"/>
          <w:sz w:val="20"/>
        </w:rPr>
        <w:t> Interim Chief Financial Officer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Effective Date:</w:t>
      </w:r>
      <w:r>
        <w:rPr>
          <w:rFonts w:ascii="Times New Roman" w:hAnsi="Times New Roman"/>
          <w:b w:val="false"/>
          <w:i w:val="false"/>
          <w:caps w:val="false"/>
          <w:smallCaps w:val="false"/>
          <w:sz w:val="20"/>
        </w:rPr>
        <w:t> July 1st, 2026</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Reporting To:</w:t>
      </w:r>
      <w:r>
        <w:rPr>
          <w:rFonts w:ascii="Times New Roman" w:hAnsi="Times New Roman"/>
          <w:b w:val="false"/>
          <w:i w:val="false"/>
          <w:caps w:val="false"/>
          <w:smallCaps w:val="false"/>
          <w:sz w:val="20"/>
        </w:rPr>
        <w:t> Chief Executive Officer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Board Oversight:</w:t>
      </w:r>
      <w:r>
        <w:rPr>
          <w:rFonts w:ascii="Times New Roman" w:hAnsi="Times New Roman"/>
          <w:b w:val="false"/>
          <w:i w:val="false"/>
          <w:caps w:val="false"/>
          <w:smallCaps w:val="false"/>
          <w:sz w:val="20"/>
        </w:rPr>
        <w:t> Audit Committee of the Board of Directors</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36"/>
        </w:rPr>
      </w:pPr>
      <w:r>
        <w:rPr>
          <w:rFonts w:ascii="Times New Roman" w:hAnsi="Times New Roman"/>
          <w:b/>
          <w:i w:val="false"/>
          <w:caps w:val="false"/>
          <w:smallCaps w:val="false"/>
          <w:sz w:val="36"/>
        </w:rPr>
        <w:t>Purpose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Company’s acquisition and integration of EngineRoom and the ongoing optimization of the finance organization, Melissa Podruzny is hereby appointed as </w:t>
      </w:r>
      <w:r>
        <w:rPr>
          <w:rFonts w:ascii="Times New Roman" w:hAnsi="Times New Roman"/>
          <w:b/>
          <w:i w:val="false"/>
          <w:caps w:val="false"/>
          <w:smallCaps w:val="false"/>
          <w:sz w:val="20"/>
        </w:rPr>
        <w:t>Interim Chief Financial Officer</w:t>
      </w:r>
      <w:r>
        <w:rPr>
          <w:rFonts w:ascii="Times New Roman" w:hAnsi="Times New Roman"/>
          <w:b w:val="false"/>
          <w:i w:val="false"/>
          <w:caps w:val="false"/>
          <w:smallCaps w:val="false"/>
          <w:sz w:val="20"/>
        </w:rPr>
        <w:t> of CXApp Inc. (“Company”) for an initial three-month transition period.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purpose of this appointment is to provide executive financial leadership, ensure continuity of financial operations, maintain compliance with SEC and Nasdaq reporting obligations, oversee post-acquisition financial integration activities, and support the Company’s broader strategic and operational objectives.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Melissa will serve as the Company’s principal financial executive during the Interim Period and will work closely with executive management, the Audit Committee, external auditors, legal counsel, and the Company’s outsourced accounting partners.</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36"/>
        </w:rPr>
      </w:pPr>
      <w:r>
        <w:rPr>
          <w:rFonts w:ascii="Times New Roman" w:hAnsi="Times New Roman"/>
          <w:b/>
          <w:i w:val="false"/>
          <w:caps w:val="false"/>
          <w:smallCaps w:val="false"/>
          <w:sz w:val="36"/>
        </w:rPr>
        <w:t>Scope of Responsibilities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8"/>
        </w:rPr>
      </w:pPr>
      <w:r>
        <w:rPr>
          <w:rFonts w:ascii="Times New Roman" w:hAnsi="Times New Roman"/>
          <w:b/>
          <w:i w:val="false"/>
          <w:caps w:val="false"/>
          <w:smallCaps w:val="false"/>
          <w:sz w:val="28"/>
        </w:rPr>
        <w:t>Executive Financial Leadership</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Serve as the Company’s Interim Chief Financial Officer and principal financial advisor to the Chief Executive Officer and Board.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Responsibilities include:</w:t>
      </w:r>
    </w:p>
    <w:p>
      <w:pPr>
        <w:pStyle w:val="TextBody"/>
        <w:bidi w:val="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75"/>
        <w:gridCol w:w="170"/>
        <w:gridCol w:w="47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Overall leadership of the Company’s finance organization.</w:t>
            </w:r>
          </w:p>
        </w:tc>
      </w:tr>
    </w:tbl>
    <w:p>
      <w:pPr>
        <w:pStyle w:val="TextBody"/>
        <w:bidi w:val="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70"/>
        <w:gridCol w:w="3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Financial planning, forecasting and budgeting.</w:t>
            </w:r>
          </w:p>
        </w:tc>
      </w:tr>
    </w:tbl>
    <w:p>
      <w:pPr>
        <w:pStyle w:val="TextBody"/>
        <w:bidi w:val="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170"/>
        <w:gridCol w:w="3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management and liquidity oversight.</w:t>
            </w:r>
          </w:p>
        </w:tc>
      </w:tr>
    </w:tbl>
    <w:p>
      <w:pPr>
        <w:pStyle w:val="TextBody"/>
        <w:bidi w:val="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75"/>
        <w:gridCol w:w="170"/>
        <w:gridCol w:w="15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Treasury oversight.</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Financial analysis supporting strategic decision-making.</w:t>
            </w:r>
          </w:p>
        </w:tc>
      </w:tr>
    </w:tbl>
    <w:p>
      <w:pPr>
        <w:pStyle w:val="TextBody"/>
        <w:bidi w:val="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Financial governance and internal controls.</w:t>
            </w:r>
          </w:p>
        </w:tc>
      </w:tr>
    </w:tbl>
    <w:p>
      <w:pPr>
        <w:pStyle w:val="TextBody"/>
        <w:bidi w:val="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Oversight of accounting operations and financial reporting.</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8"/>
        </w:rPr>
      </w:pPr>
      <w:r>
        <w:rPr>
          <w:rFonts w:ascii="Times New Roman" w:hAnsi="Times New Roman"/>
          <w:b/>
          <w:i w:val="false"/>
          <w:caps w:val="false"/>
          <w:smallCaps w:val="false"/>
          <w:sz w:val="28"/>
        </w:rPr>
        <w:t>SEC Reporting &amp; Public Company Compliance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Lead and oversee all public company financial reporting activities, including:</w:t>
      </w:r>
    </w:p>
    <w:p>
      <w:pPr>
        <w:pStyle w:val="TextBody"/>
        <w:bidi w:val="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75"/>
        <w:gridCol w:w="170"/>
        <w:gridCol w:w="1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10-Q filings.</w:t>
            </w:r>
          </w:p>
        </w:tc>
      </w:tr>
    </w:tbl>
    <w:p>
      <w:pPr>
        <w:pStyle w:val="TextBody"/>
        <w:bidi w:val="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170"/>
        <w:gridCol w:w="1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10-K preparation.</w:t>
            </w:r>
          </w:p>
        </w:tc>
      </w:tr>
    </w:tbl>
    <w:p>
      <w:pPr>
        <w:pStyle w:val="TextBody"/>
        <w:bidi w:val="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170"/>
        <w:gridCol w:w="25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8-K financial disclosures.</w:t>
            </w:r>
          </w:p>
        </w:tc>
      </w:tr>
    </w:tbl>
    <w:p>
      <w:pPr>
        <w:pStyle w:val="TextBody"/>
        <w:bidi w:val="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170"/>
        <w:gridCol w:w="3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Proxy statement financial disclosures.</w:t>
            </w:r>
          </w:p>
        </w:tc>
      </w:tr>
    </w:tbl>
    <w:p>
      <w:pPr>
        <w:pStyle w:val="TextBody"/>
        <w:bidi w:val="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Earnings releases and related financial schedules.</w:t>
            </w:r>
          </w:p>
        </w:tc>
      </w:tr>
    </w:tbl>
    <w:p>
      <w:pPr>
        <w:pStyle w:val="TextBody"/>
        <w:bidi w:val="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Review of investor presentation financial information.</w:t>
            </w:r>
          </w:p>
        </w:tc>
      </w:tr>
    </w:tbl>
    <w:p>
      <w:pPr>
        <w:pStyle w:val="TextBody"/>
        <w:bidi w:val="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Compliance with SEC and Nasdaq financial reporting requirements.</w:t>
            </w:r>
          </w:p>
        </w:tc>
      </w:tr>
    </w:tbl>
    <w:p>
      <w:pPr>
        <w:pStyle w:val="TextBody"/>
        <w:bidi w:val="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Coordination with outside securities counsel and financial advisors.</w:t>
            </w:r>
          </w:p>
        </w:tc>
      </w:tr>
    </w:tbl>
    <w:p>
      <w:pPr>
        <w:pStyle w:val="TextBody"/>
        <w:bidi w:val="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170"/>
        <w:gridCol w:w="5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Maintenance of disclosure controls and financial reporting procedures.</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8"/>
        </w:rPr>
      </w:pPr>
      <w:r>
        <w:rPr>
          <w:rFonts w:ascii="Times New Roman" w:hAnsi="Times New Roman"/>
          <w:b/>
          <w:i w:val="false"/>
          <w:caps w:val="false"/>
          <w:smallCaps w:val="false"/>
          <w:sz w:val="28"/>
        </w:rPr>
        <w:t>EngineRoom Transaction Integration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Provide financial leadership relating to the successful integration of EngineRoom, including:</w:t>
      </w:r>
    </w:p>
    <w:p>
      <w:pPr>
        <w:pStyle w:val="TextBody"/>
        <w:bidi w:val="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75"/>
        <w:gridCol w:w="170"/>
        <w:gridCol w:w="32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Purchase accounting under U.S. GAAP.</w:t>
            </w:r>
          </w:p>
        </w:tc>
      </w:tr>
    </w:tbl>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Acquisition accounting and opening balance sheet review.</w:t>
            </w:r>
          </w:p>
        </w:tc>
      </w:tr>
    </w:tbl>
    <w:p>
      <w:pPr>
        <w:pStyle w:val="TextBody"/>
        <w:bidi w:val="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75"/>
        <w:gridCol w:w="170"/>
        <w:gridCol w:w="25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Financial reporting integration.</w:t>
            </w:r>
          </w:p>
        </w:tc>
      </w:tr>
    </w:tbl>
    <w:p>
      <w:pPr>
        <w:pStyle w:val="TextBody"/>
        <w:bidi w:val="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Integration of accounting policies and procedures.</w:t>
            </w:r>
          </w:p>
        </w:tc>
      </w:tr>
    </w:tbl>
    <w:p>
      <w:pPr>
        <w:pStyle w:val="TextBody"/>
        <w:bidi w:val="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Coordination with valuation specialists and accounting advisors.</w:t>
            </w:r>
          </w:p>
        </w:tc>
      </w:tr>
    </w:tbl>
    <w:p>
      <w:pPr>
        <w:pStyle w:val="TextBody"/>
        <w:bidi w:val="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Preparation of any required pro forma financial information.</w:t>
            </w:r>
          </w:p>
        </w:tc>
      </w:tr>
    </w:tbl>
    <w:p>
      <w:pPr>
        <w:pStyle w:val="TextBody"/>
        <w:bidi w:val="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Support of all SEC reporting related to the acquisition.</w:t>
            </w:r>
          </w:p>
        </w:tc>
      </w:tr>
    </w:tbl>
    <w:p>
      <w:pPr>
        <w:pStyle w:val="TextBody"/>
        <w:bidi w:val="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Financial integration planning and execution.</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8"/>
        </w:rPr>
      </w:pPr>
      <w:r>
        <w:rPr>
          <w:rFonts w:ascii="Times New Roman" w:hAnsi="Times New Roman"/>
          <w:b/>
          <w:i w:val="false"/>
          <w:caps w:val="false"/>
          <w:smallCaps w:val="false"/>
          <w:sz w:val="28"/>
        </w:rPr>
        <w:t>Audit &amp; External Advisor Coordination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Serve as the Company’s primary finance contact for:</w:t>
      </w:r>
    </w:p>
    <w:p>
      <w:pPr>
        <w:pStyle w:val="TextBody"/>
        <w:bidi w:val="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70"/>
        <w:gridCol w:w="3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Independent registered public accounting firm.</w:t>
            </w:r>
          </w:p>
        </w:tc>
      </w:tr>
    </w:tbl>
    <w:p>
      <w:pPr>
        <w:pStyle w:val="TextBody"/>
        <w:bidi w:val="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Quarterly review procedures.</w:t>
            </w:r>
          </w:p>
        </w:tc>
      </w:tr>
    </w:tbl>
    <w:p>
      <w:pPr>
        <w:pStyle w:val="TextBody"/>
        <w:bidi w:val="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170"/>
        <w:gridCol w:w="1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Annual audit planning.</w:t>
            </w:r>
          </w:p>
        </w:tc>
      </w:tr>
    </w:tbl>
    <w:p>
      <w:pPr>
        <w:pStyle w:val="TextBody"/>
        <w:bidi w:val="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170"/>
        <w:gridCol w:w="17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PCAOB compliance.</w:t>
            </w:r>
          </w:p>
        </w:tc>
      </w:tr>
    </w:tbl>
    <w:p>
      <w:pPr>
        <w:pStyle w:val="TextBody"/>
        <w:bidi w:val="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170"/>
        <w:gridCol w:w="2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Technical accounting matters.</w:t>
            </w:r>
          </w:p>
        </w:tc>
      </w:tr>
    </w:tbl>
    <w:p>
      <w:pPr>
        <w:pStyle w:val="TextBody"/>
        <w:bidi w:val="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Audit Committee communications.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Coordination with outsourced accounting providers, including CohnReznick and other external finance consultants, as applicable.</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8"/>
        </w:rPr>
      </w:pPr>
      <w:r>
        <w:rPr>
          <w:rFonts w:ascii="Times New Roman" w:hAnsi="Times New Roman"/>
          <w:b/>
          <w:i w:val="false"/>
          <w:caps w:val="false"/>
          <w:smallCaps w:val="false"/>
          <w:sz w:val="28"/>
        </w:rPr>
        <w:t>Finance Organization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Lead the continued evolution of the Company’s finance function by:</w:t>
      </w:r>
    </w:p>
    <w:p>
      <w:pPr>
        <w:pStyle w:val="TextBody"/>
        <w:bidi w:val="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75"/>
        <w:gridCol w:w="170"/>
        <w:gridCol w:w="67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Supporting implementation of the Company’s optimized finance operating model.</w:t>
            </w:r>
          </w:p>
        </w:tc>
      </w:tr>
    </w:tbl>
    <w:p>
      <w:pPr>
        <w:pStyle w:val="TextBody"/>
        <w:bidi w:val="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Managing finance personnel and consultants.</w:t>
            </w:r>
          </w:p>
        </w:tc>
      </w:tr>
    </w:tbl>
    <w:p>
      <w:pPr>
        <w:pStyle w:val="TextBody"/>
        <w:bidi w:val="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Improving reporting processes and financial controls.</w:t>
            </w:r>
          </w:p>
        </w:tc>
      </w:tr>
    </w:tbl>
    <w:p>
      <w:pPr>
        <w:pStyle w:val="TextBody"/>
        <w:bidi w:val="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170"/>
        <w:gridCol w:w="2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Enhancing operational efficiency.</w:t>
            </w:r>
          </w:p>
        </w:tc>
      </w:tr>
    </w:tbl>
    <w:p>
      <w:pPr>
        <w:pStyle w:val="TextBody"/>
        <w:bidi w:val="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70"/>
        <w:gridCol w:w="3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Supporting organizational transition activities.</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8"/>
        </w:rPr>
      </w:pPr>
      <w:r>
        <w:rPr>
          <w:rFonts w:ascii="Times New Roman" w:hAnsi="Times New Roman"/>
          <w:b/>
          <w:i w:val="false"/>
          <w:caps w:val="false"/>
          <w:smallCaps w:val="false"/>
          <w:sz w:val="28"/>
        </w:rPr>
        <w:t>Financial Planning &amp; Corporate Finance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Provide executive leadership relating to:</w:t>
      </w:r>
    </w:p>
    <w:p>
      <w:pPr>
        <w:pStyle w:val="TextBody"/>
        <w:bidi w:val="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170"/>
        <w:gridCol w:w="1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Annual operating plan.</w:t>
            </w:r>
          </w:p>
        </w:tc>
      </w:tr>
    </w:tbl>
    <w:p>
      <w:pPr>
        <w:pStyle w:val="TextBody"/>
        <w:bidi w:val="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5"/>
        <w:gridCol w:w="170"/>
        <w:gridCol w:w="17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Monthly forecasting.</w:t>
            </w:r>
          </w:p>
        </w:tc>
      </w:tr>
    </w:tbl>
    <w:p>
      <w:pPr>
        <w:pStyle w:val="TextBody"/>
        <w:bidi w:val="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170"/>
        <w:gridCol w:w="2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Working capital management.</w:t>
            </w:r>
          </w:p>
        </w:tc>
      </w:tr>
    </w:tbl>
    <w:p>
      <w:pPr>
        <w:pStyle w:val="TextBody"/>
        <w:bidi w:val="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170"/>
        <w:gridCol w:w="1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 forecasting.</w:t>
            </w:r>
          </w:p>
        </w:tc>
      </w:tr>
    </w:tbl>
    <w:p>
      <w:pPr>
        <w:pStyle w:val="TextBody"/>
        <w:bidi w:val="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75"/>
        <w:gridCol w:w="170"/>
        <w:gridCol w:w="11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KPI reporting.</w:t>
            </w:r>
          </w:p>
        </w:tc>
      </w:tr>
    </w:tbl>
    <w:p>
      <w:pPr>
        <w:pStyle w:val="TextBody"/>
        <w:bidi w:val="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75"/>
        <w:gridCol w:w="170"/>
        <w:gridCol w:w="21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Board financial packages.</w:t>
            </w:r>
          </w:p>
        </w:tc>
      </w:tr>
    </w:tbl>
    <w:p>
      <w:pPr>
        <w:pStyle w:val="TextBody"/>
        <w:bidi w:val="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Strategic financial modeling.</w:t>
            </w:r>
          </w:p>
        </w:tc>
      </w:tr>
    </w:tbl>
    <w:p>
      <w:pPr>
        <w:pStyle w:val="TextBody"/>
        <w:bidi w:val="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70"/>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Corporate development initiatives.</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8"/>
        </w:rPr>
      </w:pPr>
      <w:r>
        <w:rPr>
          <w:rFonts w:ascii="Times New Roman" w:hAnsi="Times New Roman"/>
          <w:b/>
          <w:i w:val="false"/>
          <w:caps w:val="false"/>
          <w:smallCaps w:val="false"/>
          <w:sz w:val="28"/>
        </w:rPr>
        <w:t>Board &amp; Investor Support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Support executive leadership through:</w:t>
      </w:r>
    </w:p>
    <w:p>
      <w:pPr>
        <w:pStyle w:val="TextBody"/>
        <w:bidi w:val="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170"/>
        <w:gridCol w:w="22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Audit Committee meetings.</w:t>
            </w:r>
          </w:p>
        </w:tc>
      </w:tr>
    </w:tbl>
    <w:p>
      <w:pPr>
        <w:pStyle w:val="TextBody"/>
        <w:bidi w:val="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5"/>
        <w:gridCol w:w="170"/>
        <w:gridCol w:w="1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Board presentations.</w:t>
            </w:r>
          </w:p>
        </w:tc>
      </w:tr>
    </w:tbl>
    <w:p>
      <w:pPr>
        <w:pStyle w:val="TextBody"/>
        <w:bidi w:val="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Earnings call preparation.</w:t>
            </w:r>
          </w:p>
        </w:tc>
      </w:tr>
    </w:tbl>
    <w:p>
      <w:pPr>
        <w:pStyle w:val="TextBody"/>
        <w:bidi w:val="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170"/>
        <w:gridCol w:w="2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Investor diligence requests.</w:t>
            </w:r>
          </w:p>
        </w:tc>
      </w:tr>
    </w:tbl>
    <w:p>
      <w:pPr>
        <w:pStyle w:val="TextBody"/>
        <w:bidi w:val="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Financial messaging review.</w:t>
            </w:r>
          </w:p>
        </w:tc>
      </w:tr>
    </w:tbl>
    <w:p>
      <w:pPr>
        <w:pStyle w:val="TextBody"/>
        <w:bidi w:val="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170"/>
        <w:gridCol w:w="25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Strategic finance presentations.</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36"/>
        </w:rPr>
      </w:pPr>
      <w:r>
        <w:rPr>
          <w:rFonts w:ascii="Times New Roman" w:hAnsi="Times New Roman"/>
          <w:b/>
          <w:i w:val="false"/>
          <w:caps w:val="false"/>
          <w:smallCaps w:val="false"/>
          <w:sz w:val="36"/>
        </w:rPr>
        <w:t>Key Deliverables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Interim Period, Melissa will be expected to:</w:t>
      </w:r>
    </w:p>
    <w:p>
      <w:pPr>
        <w:pStyle w:val="TextBody"/>
        <w:bidi w:val="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Ensure all SEC filings are completed accurately and on schedule.</w:t>
            </w:r>
          </w:p>
        </w:tc>
      </w:tr>
    </w:tbl>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Successfully oversee the financial integration of EngineRoom.</w:t>
            </w:r>
          </w:p>
        </w:tc>
      </w:tr>
    </w:tbl>
    <w:p>
      <w:pPr>
        <w:pStyle w:val="TextBody"/>
        <w:bidi w:val="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5"/>
        <w:gridCol w:w="170"/>
        <w:gridCol w:w="39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Coordinate quarterly review and audit activities.</w:t>
            </w:r>
          </w:p>
        </w:tc>
      </w:tr>
    </w:tbl>
    <w:p>
      <w:pPr>
        <w:pStyle w:val="TextBody"/>
        <w:bidi w:val="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170"/>
        <w:gridCol w:w="3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Maintain strong financial reporting controls.</w:t>
            </w:r>
          </w:p>
        </w:tc>
      </w:tr>
    </w:tbl>
    <w:p>
      <w:pPr>
        <w:pStyle w:val="TextBody"/>
        <w:bidi w:val="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170"/>
        <w:gridCol w:w="6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Deliver timely monthly financial reporting to executive management and the Board.</w:t>
            </w:r>
          </w:p>
        </w:tc>
      </w:tr>
    </w:tbl>
    <w:p>
      <w:pPr>
        <w:pStyle w:val="TextBody"/>
        <w:bidi w:val="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Support implementation of the Company’s finance optimization initiatives.</w:t>
            </w:r>
          </w:p>
        </w:tc>
      </w:tr>
    </w:tbl>
    <w:p>
      <w:pPr>
        <w:pStyle w:val="TextBody"/>
        <w:bidi w:val="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Maintain effective relationships with external auditors, advisors, and the Audit Committee.</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36"/>
        </w:rPr>
      </w:pPr>
      <w:r>
        <w:rPr>
          <w:rFonts w:ascii="Times New Roman" w:hAnsi="Times New Roman"/>
          <w:b/>
          <w:i w:val="false"/>
          <w:caps w:val="false"/>
          <w:smallCaps w:val="false"/>
          <w:sz w:val="36"/>
        </w:rPr>
        <w:t>Compensation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Melissa will continue to receive her existing annual base salary of </w:t>
      </w:r>
      <w:r>
        <w:rPr>
          <w:rFonts w:ascii="Times New Roman" w:hAnsi="Times New Roman"/>
          <w:b/>
          <w:i w:val="false"/>
          <w:caps w:val="false"/>
          <w:smallCaps w:val="false"/>
          <w:sz w:val="20"/>
        </w:rPr>
        <w:t>CAN $141,180</w:t>
      </w:r>
      <w:r>
        <w:rPr>
          <w:rFonts w:ascii="Times New Roman" w:hAnsi="Times New Roman"/>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recognition of the additional responsibilities associated with serving as Interim Chief Financial Officer, the Company will provide the following additional compensation: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4"/>
        </w:rPr>
      </w:pPr>
      <w:r>
        <w:rPr>
          <w:rFonts w:ascii="Times New Roman" w:hAnsi="Times New Roman"/>
          <w:b/>
          <w:i w:val="false"/>
          <w:caps w:val="false"/>
          <w:smallCaps w:val="false"/>
          <w:sz w:val="24"/>
        </w:rPr>
        <w:t>Interim Assignment Premium</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Melissa shall receive an additional </w:t>
      </w:r>
      <w:r>
        <w:rPr>
          <w:rFonts w:ascii="Times New Roman" w:hAnsi="Times New Roman"/>
          <w:b/>
          <w:i w:val="false"/>
          <w:caps w:val="false"/>
          <w:smallCaps w:val="false"/>
          <w:sz w:val="20"/>
        </w:rPr>
        <w:t>CAN $30,000</w:t>
      </w:r>
      <w:r>
        <w:rPr>
          <w:rFonts w:ascii="Times New Roman" w:hAnsi="Times New Roman"/>
          <w:b w:val="false"/>
          <w:i w:val="false"/>
          <w:caps w:val="false"/>
          <w:smallCaps w:val="false"/>
          <w:sz w:val="20"/>
        </w:rPr>
        <w:t>, payable over the three-month Interim Period through the Company’s normal payroll practices.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4"/>
        </w:rPr>
      </w:pPr>
      <w:r>
        <w:rPr>
          <w:rFonts w:ascii="Times New Roman" w:hAnsi="Times New Roman"/>
          <w:b/>
          <w:i w:val="false"/>
          <w:caps w:val="false"/>
          <w:smallCaps w:val="false"/>
          <w:sz w:val="24"/>
        </w:rPr>
        <w:t>Transition Completion Bonus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Melissa shall be eligible to receive a </w:t>
      </w:r>
      <w:r>
        <w:rPr>
          <w:rFonts w:ascii="Times New Roman" w:hAnsi="Times New Roman"/>
          <w:b/>
          <w:i w:val="false"/>
          <w:caps w:val="false"/>
          <w:smallCaps w:val="false"/>
          <w:sz w:val="20"/>
        </w:rPr>
        <w:t>CAN $20,000 Transition Completion Bonus</w:t>
      </w:r>
      <w:r>
        <w:rPr>
          <w:rFonts w:ascii="Times New Roman" w:hAnsi="Times New Roman"/>
          <w:b w:val="false"/>
          <w:i w:val="false"/>
          <w:caps w:val="false"/>
          <w:smallCaps w:val="false"/>
          <w:sz w:val="20"/>
        </w:rPr>
        <w:t>, payable upon successful completion of the Interim Period, subject to approval by the Chief Executive Officer and the Compensation Committee.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bonus will be based on the successful achievement of the following objectives:</w:t>
      </w:r>
    </w:p>
    <w:p>
      <w:pPr>
        <w:pStyle w:val="TextBody"/>
        <w:bidi w:val="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Completion of the EngineRoom financial integration.</w:t>
            </w:r>
          </w:p>
        </w:tc>
      </w:tr>
    </w:tbl>
    <w:p>
      <w:pPr>
        <w:pStyle w:val="TextBody"/>
        <w:bidi w:val="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Timely preparation and filing of all required SEC reports during the Interim Period.</w:t>
            </w:r>
          </w:p>
        </w:tc>
      </w:tr>
    </w:tbl>
    <w:p>
      <w:pPr>
        <w:pStyle w:val="TextBody"/>
        <w:bidi w:val="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Successful completion of quarterly review and audit procedures.</w:t>
            </w:r>
          </w:p>
        </w:tc>
      </w:tr>
    </w:tbl>
    <w:p>
      <w:pPr>
        <w:pStyle w:val="TextBody"/>
        <w:bidi w:val="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170"/>
        <w:gridCol w:w="45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Maintenance of appropriate financial reporting controls.</w:t>
            </w:r>
          </w:p>
        </w:tc>
      </w:tr>
    </w:tbl>
    <w:p>
      <w:pPr>
        <w:pStyle w:val="TextBody"/>
        <w:bidi w:val="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Successful stabilization and transition of the Company’s finance organization.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Compensation Committee may approve payment of the bonus in full or in part based on the overall achievement of these objectives.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4"/>
        </w:rPr>
      </w:pPr>
      <w:r>
        <w:rPr>
          <w:rFonts w:ascii="Times New Roman" w:hAnsi="Times New Roman"/>
          <w:b/>
          <w:i w:val="false"/>
          <w:caps w:val="false"/>
          <w:smallCaps w:val="false"/>
          <w:sz w:val="24"/>
        </w:rPr>
        <w:t>Equity Award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Subject to approval by the Board of Directors and the Company’s Equity Incentive Plan, Melissa shall receive a non-qualified stock option grant covering </w:t>
      </w:r>
      <w:r>
        <w:rPr>
          <w:rFonts w:ascii="Times New Roman" w:hAnsi="Times New Roman"/>
          <w:b/>
          <w:i w:val="false"/>
          <w:caps w:val="false"/>
          <w:smallCaps w:val="false"/>
          <w:sz w:val="20"/>
        </w:rPr>
        <w:t>50,000 shares</w:t>
      </w:r>
      <w:r>
        <w:rPr>
          <w:rFonts w:ascii="Times New Roman" w:hAnsi="Times New Roman"/>
          <w:b w:val="false"/>
          <w:i w:val="false"/>
          <w:caps w:val="false"/>
          <w:smallCaps w:val="false"/>
          <w:sz w:val="20"/>
        </w:rPr>
        <w:t> of the Company’s common stock.</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option grant shall:</w:t>
      </w:r>
    </w:p>
    <w:p>
      <w:pPr>
        <w:pStyle w:val="TextBody"/>
        <w:bidi w:val="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75"/>
        <w:gridCol w:w="170"/>
        <w:gridCol w:w="8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Have an exercise price equal to the fair market value of the Company’s common stock on the grant date.</w:t>
            </w:r>
          </w:p>
        </w:tc>
      </w:tr>
    </w:tbl>
    <w:p>
      <w:pPr>
        <w:pStyle w:val="TextBody"/>
        <w:bidi w:val="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75"/>
        <w:gridCol w:w="170"/>
        <w:gridCol w:w="2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Vest over </w:t>
            </w:r>
            <w:r>
              <w:rPr>
                <w:rFonts w:ascii="Times New Roman" w:hAnsi="Times New Roman"/>
                <w:b/>
                <w:i w:val="false"/>
                <w:caps w:val="false"/>
                <w:smallCaps w:val="false"/>
                <w:sz w:val="20"/>
              </w:rPr>
              <w:t>twenty-four (24) months</w:t>
            </w:r>
            <w:r>
              <w:rPr>
                <w:rFonts w:ascii="Times New Roman" w:hAnsi="Times New Roman"/>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75"/>
        <w:gridCol w:w="170"/>
        <w:gridCol w:w="29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 subject to a </w:t>
            </w:r>
            <w:r>
              <w:rPr>
                <w:rFonts w:ascii="Times New Roman" w:hAnsi="Times New Roman"/>
                <w:b/>
                <w:i w:val="false"/>
                <w:caps w:val="false"/>
                <w:smallCaps w:val="false"/>
                <w:sz w:val="20"/>
              </w:rPr>
              <w:t>one-year cliff</w:t>
            </w:r>
            <w:r>
              <w:rPr>
                <w:rFonts w:ascii="Times New Roman" w:hAnsi="Times New Roman"/>
                <w:b w:val="false"/>
                <w:i w:val="false"/>
                <w:caps w:val="false"/>
                <w:smallCaps w:val="false"/>
                <w:sz w:val="20"/>
              </w:rPr>
              <w:t>, with:</w:t>
            </w:r>
          </w:p>
        </w:tc>
      </w:tr>
    </w:tbl>
    <w:p>
      <w:pPr>
        <w:pStyle w:val="TextBody"/>
        <w:bidi w:val="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25,000 options vesting on the first anniversary</w:t>
            </w:r>
            <w:r>
              <w:rPr>
                <w:rFonts w:ascii="Times New Roman" w:hAnsi="Times New Roman"/>
                <w:b w:val="false"/>
                <w:i w:val="false"/>
                <w:caps w:val="false"/>
                <w:smallCaps w:val="false"/>
                <w:sz w:val="20"/>
              </w:rPr>
              <w:t> of the grant date.</w:t>
            </w:r>
          </w:p>
        </w:tc>
      </w:tr>
    </w:tbl>
    <w:p>
      <w:pPr>
        <w:pStyle w:val="TextBody"/>
        <w:bidi w:val="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remaining </w:t>
            </w:r>
            <w:r>
              <w:rPr>
                <w:rFonts w:ascii="Times New Roman" w:hAnsi="Times New Roman"/>
                <w:b/>
                <w:i w:val="false"/>
                <w:caps w:val="false"/>
                <w:smallCaps w:val="false"/>
                <w:sz w:val="20"/>
              </w:rPr>
              <w:t>25,000 options vesting in equal monthly installments</w:t>
            </w:r>
            <w:r>
              <w:rPr>
                <w:rFonts w:ascii="Times New Roman" w:hAnsi="Times New Roman"/>
                <w:b w:val="false"/>
                <w:i w:val="false"/>
                <w:caps w:val="false"/>
                <w:smallCaps w:val="false"/>
                <w:sz w:val="20"/>
              </w:rPr>
              <w:t> over the following twelve months.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Remain subject to Melissa’s continued employment with the Company and the terms of the Company’s Equity Incentive Plan and applicable Stock Option Agreement.</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36"/>
        </w:rPr>
      </w:pPr>
      <w:r>
        <w:rPr>
          <w:rFonts w:ascii="Times New Roman" w:hAnsi="Times New Roman"/>
          <w:b/>
          <w:i w:val="false"/>
          <w:caps w:val="false"/>
          <w:smallCaps w:val="false"/>
          <w:sz w:val="36"/>
        </w:rPr>
        <w:t>Term</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appointment shall commence on </w:t>
      </w:r>
      <w:r>
        <w:rPr>
          <w:rFonts w:ascii="Times New Roman" w:hAnsi="Times New Roman"/>
          <w:b/>
          <w:i w:val="false"/>
          <w:caps w:val="false"/>
          <w:smallCaps w:val="false"/>
          <w:sz w:val="20"/>
        </w:rPr>
        <w:t>July 1st, 2026</w:t>
      </w:r>
      <w:r>
        <w:rPr>
          <w:rFonts w:ascii="Times New Roman" w:hAnsi="Times New Roman"/>
          <w:b w:val="false"/>
          <w:i w:val="false"/>
          <w:caps w:val="false"/>
          <w:smallCaps w:val="false"/>
          <w:sz w:val="20"/>
        </w:rPr>
        <w:t>, and continue for an initial period of </w:t>
      </w:r>
      <w:r>
        <w:rPr>
          <w:rFonts w:ascii="Times New Roman" w:hAnsi="Times New Roman"/>
          <w:b/>
          <w:i w:val="false"/>
          <w:caps w:val="false"/>
          <w:smallCaps w:val="false"/>
          <w:sz w:val="20"/>
        </w:rPr>
        <w:t>three (3) months</w:t>
      </w:r>
      <w:r>
        <w:rPr>
          <w:rFonts w:ascii="Times New Roman" w:hAnsi="Times New Roman"/>
          <w:b w:val="false"/>
          <w:i w:val="false"/>
          <w:caps w:val="false"/>
          <w:smallCaps w:val="false"/>
          <w:sz w:val="20"/>
        </w:rPr>
        <w:t>, unless extended by mutual agreement or terminated earlier by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may extend the appointment should business needs require continued interim financial leadership.</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Nothing contained in this appointment alters the at-will nature of Melissa’s employment.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36"/>
        </w:rPr>
      </w:pPr>
      <w:r>
        <w:rPr>
          <w:rFonts w:ascii="Times New Roman" w:hAnsi="Times New Roman"/>
          <w:b/>
          <w:i w:val="false"/>
          <w:caps w:val="false"/>
          <w:smallCaps w:val="false"/>
          <w:sz w:val="36"/>
        </w:rPr>
        <w:t>Confidentiality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Melissa shall continue to comply with all Company confidentiality policies, insider trading policies, codes of business conduct, and applicable federal securities laws governing officers of a publicly traded company.</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36"/>
        </w:rPr>
      </w:pPr>
      <w:r>
        <w:rPr>
          <w:rFonts w:ascii="Times New Roman" w:hAnsi="Times New Roman"/>
          <w:b/>
          <w:i w:val="false"/>
          <w:caps w:val="false"/>
          <w:smallCaps w:val="false"/>
          <w:sz w:val="36"/>
        </w:rPr>
        <w:t>Performance Objectives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Interim Chief Financial Officer’s performance will be evaluated based upon:</w:t>
      </w:r>
    </w:p>
    <w:p>
      <w:pPr>
        <w:pStyle w:val="TextBody"/>
        <w:bidi w:val="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Timely and accurate SEC reporting.</w:t>
            </w:r>
          </w:p>
        </w:tc>
      </w:tr>
    </w:tbl>
    <w:p>
      <w:pPr>
        <w:pStyle w:val="TextBody"/>
        <w:bidi w:val="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Successful EngineRoom financial integration.</w:t>
            </w:r>
          </w:p>
        </w:tc>
      </w:tr>
    </w:tbl>
    <w:p>
      <w:pPr>
        <w:pStyle w:val="TextBody"/>
        <w:bidi w:val="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75"/>
        <w:gridCol w:w="170"/>
        <w:gridCol w:w="50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Successful completion of quarterly review and audit activities.</w:t>
            </w:r>
          </w:p>
        </w:tc>
      </w:tr>
    </w:tbl>
    <w:p>
      <w:pPr>
        <w:pStyle w:val="TextBody"/>
        <w:bidi w:val="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170"/>
        <w:gridCol w:w="2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Effective financial leadership.</w:t>
            </w:r>
          </w:p>
        </w:tc>
      </w:tr>
    </w:tbl>
    <w:p>
      <w:pPr>
        <w:pStyle w:val="TextBody"/>
        <w:bidi w:val="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Improvement of finance processes and operational efficiency.</w:t>
            </w:r>
          </w:p>
        </w:tc>
      </w:tr>
    </w:tbl>
    <w:p>
      <w:pPr>
        <w:pStyle w:val="TextBody"/>
        <w:bidi w:val="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170"/>
        <w:gridCol w:w="3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Strong governance and internal controls.</w:t>
            </w:r>
          </w:p>
        </w:tc>
      </w:tr>
    </w:tbl>
    <w:p>
      <w:pPr>
        <w:pStyle w:val="TextBody"/>
        <w:bidi w:val="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Effective support of the Board of Directors and Audit Committee.</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36"/>
        </w:rPr>
      </w:pPr>
      <w:r>
        <w:rPr>
          <w:rFonts w:ascii="Times New Roman" w:hAnsi="Times New Roman"/>
          <w:b/>
          <w:i w:val="false"/>
          <w:caps w:val="false"/>
          <w:smallCaps w:val="false"/>
          <w:sz w:val="36"/>
        </w:rPr>
        <w:t>Acceptance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Accepted and agreed as of the Effective Date below.</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4"/>
        </w:rPr>
      </w:pPr>
      <w:r>
        <w:rPr>
          <w:rFonts w:ascii="Times New Roman" w:hAnsi="Times New Roman"/>
          <w:b/>
          <w:i w:val="false"/>
          <w:caps w:val="false"/>
          <w:smallCaps w:val="false"/>
          <w:sz w:val="24"/>
        </w:rPr>
        <w:t>Melissa Podruzny</w:t>
      </w:r>
    </w:p>
    <w:p>
      <w:pPr>
        <w:pStyle w:val="TextBody"/>
        <w:bidi w:val="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920"/>
        <w:gridCol w:w="1775"/>
        <w:gridCol w:w="75"/>
      </w:tblGrid>
      <w:tr>
        <w:trPr/>
        <w:tc>
          <w:tcPr>
            <w:tcW w:w="92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Signature: </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 </w:t>
            </w:r>
            <w:r>
              <w:rPr>
                <w:rFonts w:ascii="Times New Roman" w:hAnsi="Times New Roman"/>
                <w:b/>
                <w:i w:val="false"/>
                <w:caps w:val="false"/>
                <w:smallCaps w:val="false"/>
                <w:sz w:val="20"/>
              </w:rPr>
              <w:t>Melissa Podruzny</w:t>
            </w:r>
          </w:p>
        </w:tc>
        <w:tc>
          <w:tcPr>
            <w:tcW w:w="75" w:type="dxa"/>
            <w:tcBorders/>
            <w:vAlign w:val="center"/>
          </w:tcPr>
          <w:p>
            <w:pPr>
              <w:pStyle w:val="TableContents"/>
              <w:bidi w:val="0"/>
              <w:spacing w:before="0" w:after="283"/>
              <w:jc w:val="left"/>
              <w:rPr/>
            </w:pPr>
            <w:r>
              <w:rPr/>
              <w:t> </w:t>
            </w:r>
          </w:p>
        </w:tc>
      </w:tr>
      <w:tr>
        <w:trPr/>
        <w:tc>
          <w:tcPr>
            <w:tcW w:w="26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xml:space="preserve">Date: </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1, 2026</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4"/>
        </w:rPr>
      </w:pPr>
      <w:r>
        <w:rPr>
          <w:rFonts w:ascii="Times New Roman" w:hAnsi="Times New Roman"/>
          <w:b/>
          <w:i w:val="false"/>
          <w:caps w:val="false"/>
          <w:smallCaps w:val="false"/>
          <w:sz w:val="24"/>
        </w:rPr>
        <w:t>Khurram Sheikh</w:t>
      </w:r>
      <w:r>
        <w:rPr>
          <w:rFonts w:ascii="Times New Roman" w:hAnsi="Times New Roman"/>
          <w:b w:val="false"/>
          <w:i w:val="false"/>
          <w:caps w:val="false"/>
          <w:smallCaps w:val="false"/>
          <w:sz w:val="24"/>
        </w:rPr>
        <w:br/>
      </w:r>
      <w:r>
        <w:rPr>
          <w:rFonts w:ascii="Times New Roman;Times;Serif" w:hAnsi="Times New Roman;Times;Serif"/>
          <w:b w:val="false"/>
          <w:i w:val="false"/>
          <w:caps w:val="false"/>
          <w:smallCaps w:val="false"/>
          <w:sz w:val="20"/>
        </w:rPr>
        <w:t>Chairman &amp; Chief Executive Officer</w:t>
        <w:br/>
        <w:t>CXApp Inc.</w:t>
      </w:r>
    </w:p>
    <w:p>
      <w:pPr>
        <w:pStyle w:val="TextBody"/>
        <w:bidi w:val="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920"/>
        <w:gridCol w:w="1685"/>
        <w:gridCol w:w="75"/>
      </w:tblGrid>
      <w:tr>
        <w:trPr/>
        <w:tc>
          <w:tcPr>
            <w:tcW w:w="92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Signature: </w:t>
            </w:r>
          </w:p>
        </w:tc>
        <w:tc>
          <w:tcPr>
            <w:tcW w:w="168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 </w:t>
            </w:r>
            <w:r>
              <w:rPr>
                <w:rFonts w:ascii="Times New Roman" w:hAnsi="Times New Roman"/>
                <w:b/>
                <w:i w:val="false"/>
                <w:caps w:val="false"/>
                <w:smallCaps w:val="false"/>
                <w:sz w:val="20"/>
              </w:rPr>
              <w:t>Khurram Sheikh</w:t>
            </w:r>
          </w:p>
        </w:tc>
        <w:tc>
          <w:tcPr>
            <w:tcW w:w="75" w:type="dxa"/>
            <w:tcBorders/>
            <w:vAlign w:val="center"/>
          </w:tcPr>
          <w:p>
            <w:pPr>
              <w:pStyle w:val="TableContents"/>
              <w:bidi w:val="0"/>
              <w:spacing w:before="0" w:after="283"/>
              <w:jc w:val="left"/>
              <w:rPr/>
            </w:pPr>
            <w:r>
              <w:rPr/>
              <w:t> </w:t>
            </w:r>
          </w:p>
        </w:tc>
      </w:tr>
      <w:tr>
        <w:trPr/>
        <w:tc>
          <w:tcPr>
            <w:tcW w:w="260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xml:space="preserve">Date: </w:t>
            </w:r>
          </w:p>
        </w:tc>
        <w:tc>
          <w:tcPr>
            <w:tcW w:w="168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July 1, 2026</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jc w:val="left"/>
        <w:rPr/>
      </w:pPr>
      <w:bookmarkStart w:id="29" w:name="cxappinc_ex16-1.htm"/>
      <w:bookmarkStart w:id="30" w:name="kscxappinc_ex161"/>
      <w:bookmarkEnd w:id="29"/>
      <w:bookmarkEnd w:id="30"/>
      <w:r>
        <w:rPr/>
        <w:t> </w:t>
      </w:r>
      <w:r>
        <w:br w:type="page"/>
      </w:r>
    </w:p>
    <w:p>
      <w:pPr>
        <w:pStyle w:val="TextBody"/>
        <w:bidi w:val="0"/>
        <w:jc w:val="right"/>
        <w:rPr>
          <w:b/>
        </w:rPr>
      </w:pPr>
      <w:r>
        <w:rPr>
          <w:b/>
        </w:rPr>
        <w:t>Exhibit 16.1</w:t>
      </w:r>
    </w:p>
    <w:p>
      <w:pPr>
        <w:pStyle w:val="TextBody"/>
        <w:bidi w:val="0"/>
        <w:jc w:val="left"/>
        <w:rPr/>
      </w:pPr>
      <w:r>
        <w:rPr/>
        <w:t> </w:t>
      </w:r>
    </w:p>
    <w:p>
      <w:pPr>
        <w:pStyle w:val="TextBody"/>
        <w:bidi w:val="0"/>
        <w:jc w:val="right"/>
        <w:rPr/>
      </w:pPr>
      <w:r>
        <w:rPr/>
        <w:drawing>
          <wp:inline distT="0" distB="0" distL="0" distR="0">
            <wp:extent cx="238125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600075"/>
                    </a:xfrm>
                    <a:prstGeom prst="rect">
                      <a:avLst/>
                    </a:prstGeom>
                  </pic:spPr>
                </pic:pic>
              </a:graphicData>
            </a:graphic>
          </wp:inline>
        </w:drawing>
      </w:r>
    </w:p>
    <w:p>
      <w:pPr>
        <w:pStyle w:val="TextBody"/>
        <w:bidi w:val="0"/>
        <w:jc w:val="left"/>
        <w:rPr/>
      </w:pPr>
      <w:r>
        <w:rPr/>
        <w:t> </w:t>
      </w:r>
    </w:p>
    <w:p>
      <w:pPr>
        <w:pStyle w:val="TextBody"/>
        <w:bidi w:val="0"/>
        <w:jc w:val="left"/>
        <w:rPr/>
      </w:pPr>
      <w:r>
        <w:rPr/>
        <w:t>July 6, 2026</w:t>
      </w:r>
    </w:p>
    <w:p>
      <w:pPr>
        <w:pStyle w:val="TextBody"/>
        <w:bidi w:val="0"/>
        <w:jc w:val="left"/>
        <w:rPr/>
      </w:pPr>
      <w:r>
        <w:rPr/>
        <w:t> </w:t>
      </w:r>
    </w:p>
    <w:p>
      <w:pPr>
        <w:pStyle w:val="TextBody"/>
        <w:bidi w:val="0"/>
        <w:jc w:val="left"/>
        <w:rPr/>
      </w:pPr>
      <w:r>
        <w:rPr/>
        <w:t> </w:t>
      </w:r>
    </w:p>
    <w:p>
      <w:pPr>
        <w:pStyle w:val="TextBody"/>
        <w:bidi w:val="0"/>
        <w:jc w:val="left"/>
        <w:rPr/>
      </w:pPr>
      <w:r>
        <w:rPr/>
        <w:t>Office of the Chief Accountant</w:t>
      </w:r>
    </w:p>
    <w:p>
      <w:pPr>
        <w:pStyle w:val="TextBody"/>
        <w:bidi w:val="0"/>
        <w:jc w:val="left"/>
        <w:rPr/>
      </w:pPr>
      <w:r>
        <w:rPr/>
        <w:t>Securities and Exchange Commission</w:t>
      </w:r>
    </w:p>
    <w:p>
      <w:pPr>
        <w:pStyle w:val="TextBody"/>
        <w:bidi w:val="0"/>
        <w:jc w:val="left"/>
        <w:rPr/>
      </w:pPr>
      <w:r>
        <w:rPr/>
        <w:t>100 F Street, N.E.</w:t>
      </w:r>
    </w:p>
    <w:p>
      <w:pPr>
        <w:pStyle w:val="TextBody"/>
        <w:bidi w:val="0"/>
        <w:jc w:val="left"/>
        <w:rPr/>
      </w:pPr>
      <w:r>
        <w:rPr/>
        <w:t>Washington, DC 20549</w:t>
      </w:r>
    </w:p>
    <w:p>
      <w:pPr>
        <w:pStyle w:val="TextBody"/>
        <w:bidi w:val="0"/>
        <w:jc w:val="left"/>
        <w:rPr/>
      </w:pPr>
      <w:r>
        <w:rPr/>
        <w:t> </w:t>
      </w:r>
    </w:p>
    <w:p>
      <w:pPr>
        <w:pStyle w:val="TextBody"/>
        <w:bidi w:val="0"/>
        <w:jc w:val="left"/>
        <w:rPr/>
      </w:pPr>
      <w:r>
        <w:rPr/>
        <w:t>Ladies and Gentlemen:</w:t>
      </w:r>
    </w:p>
    <w:p>
      <w:pPr>
        <w:pStyle w:val="TextBody"/>
        <w:bidi w:val="0"/>
        <w:spacing w:before="0" w:after="283"/>
        <w:jc w:val="left"/>
        <w:rPr/>
      </w:pPr>
      <w:r>
        <w:rPr/>
        <w:t> </w:t>
      </w:r>
    </w:p>
    <w:p>
      <w:pPr>
        <w:pStyle w:val="TextBody"/>
        <w:bidi w:val="0"/>
        <w:jc w:val="both"/>
        <w:rPr/>
      </w:pPr>
      <w:r>
        <w:rPr/>
        <w:t>We have read the statements included under Item 4.01 of the Form 8-K dated July 6, 2026 to be filed by our former client CXApp, Inc. We agree with the statements under Item 4.01 insofar as they relate to our Firm. We are not in a position to agree or disagree with other statements contained therein.</w:t>
      </w:r>
    </w:p>
    <w:p>
      <w:pPr>
        <w:pStyle w:val="TextBody"/>
        <w:bidi w:val="0"/>
        <w:spacing w:before="0" w:after="283"/>
        <w:jc w:val="left"/>
        <w:rPr/>
      </w:pPr>
      <w:r>
        <w:rPr/>
        <w:t> </w:t>
      </w:r>
    </w:p>
    <w:p>
      <w:pPr>
        <w:pStyle w:val="TextBody"/>
        <w:bidi w:val="0"/>
        <w:jc w:val="left"/>
        <w:rPr/>
      </w:pPr>
      <w:r>
        <w:rPr/>
        <w:t>Very truly yours,</w:t>
      </w:r>
    </w:p>
    <w:p>
      <w:pPr>
        <w:pStyle w:val="TextBody"/>
        <w:bidi w:val="0"/>
        <w:spacing w:before="0" w:after="283"/>
        <w:jc w:val="left"/>
        <w:rPr/>
      </w:pPr>
      <w:r>
        <w:rPr/>
        <w:t> </w:t>
      </w:r>
    </w:p>
    <w:p>
      <w:pPr>
        <w:pStyle w:val="TextBody"/>
        <w:bidi w:val="0"/>
        <w:jc w:val="left"/>
        <w:rPr/>
      </w:pPr>
      <w:r>
        <w:rPr/>
        <w:drawing>
          <wp:inline distT="0" distB="0" distL="0" distR="0">
            <wp:extent cx="238125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0" cy="266700"/>
                    </a:xfrm>
                    <a:prstGeom prst="rect">
                      <a:avLst/>
                    </a:prstGeom>
                  </pic:spPr>
                </pic:pic>
              </a:graphicData>
            </a:graphic>
          </wp:inline>
        </w:drawing>
      </w:r>
    </w:p>
    <w:p>
      <w:pPr>
        <w:pStyle w:val="TextBody"/>
        <w:bidi w:val="0"/>
        <w:spacing w:before="0" w:after="283"/>
        <w:jc w:val="left"/>
        <w:rPr/>
      </w:pPr>
      <w:r>
        <w:rPr/>
        <w:t> </w:t>
      </w:r>
    </w:p>
    <w:p>
      <w:pPr>
        <w:pStyle w:val="TextBody"/>
        <w:bidi w:val="0"/>
        <w:jc w:val="left"/>
        <w:rPr>
          <w:b/>
          <w:color w:val="0056B8"/>
        </w:rPr>
      </w:pPr>
      <w:r>
        <w:rPr>
          <w:b/>
          <w:color w:val="0056B8"/>
        </w:rPr>
        <w:t>WithumSmith+Brown, PC</w:t>
      </w:r>
    </w:p>
    <w:p>
      <w:pPr>
        <w:pStyle w:val="TextBody"/>
        <w:bidi w:val="0"/>
        <w:jc w:val="left"/>
        <w:rPr/>
      </w:pPr>
      <w:r>
        <w:rPr/>
        <w:t>San Francisco, California</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714375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3429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3102</Words>
  <Characters>17864</Characters>
  <CharactersWithSpaces>21013</CharactersWithSpaces>
  <Paragraphs>691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