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8_edei--DocumentType_c20260902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br/>
      </w:r>
      <w:r>
        <w:rPr>
          <w:rFonts w:ascii="Times New Roman;Times;Serif" w:hAnsi="Times New Roman;Times;Serif"/>
          <w:b w:val="false"/>
          <w:i w:val="false"/>
          <w:caps w:val="false"/>
          <w:smallCaps w:val="false"/>
          <w:sz w:val="20"/>
        </w:rPr>
        <w:t>Pursuant to Section 13 or 15(d)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3, 2026 (</w:t>
      </w:r>
      <w:bookmarkStart w:id="3" w:name="xdx_901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205" w:type="dxa"/>
        <w:jc w:val="left"/>
        <w:tblInd w:w="0" w:type="dxa"/>
        <w:tblLayout w:type="fixed"/>
        <w:tblCellMar>
          <w:top w:w="0" w:type="dxa"/>
          <w:left w:w="0" w:type="dxa"/>
          <w:bottom w:w="28" w:type="dxa"/>
          <w:right w:w="0" w:type="dxa"/>
        </w:tblCellMar>
      </w:tblPr>
      <w:tblGrid>
        <w:gridCol w:w="2225"/>
        <w:gridCol w:w="60"/>
        <w:gridCol w:w="1100"/>
        <w:gridCol w:w="60"/>
        <w:gridCol w:w="1760"/>
      </w:tblGrid>
      <w:tr>
        <w:trPr/>
        <w:tc>
          <w:tcPr>
            <w:tcW w:w="2225" w:type="dxa"/>
            <w:tcBorders>
              <w:bottom w:val="single" w:sz="8" w:space="0" w:color="000000"/>
            </w:tcBorders>
            <w:vAlign w:val="center"/>
          </w:tcPr>
          <w:p>
            <w:pPr>
              <w:pStyle w:val="TableContents"/>
              <w:bidi w:val="0"/>
              <w:spacing w:before="0" w:after="283"/>
              <w:jc w:val="center"/>
              <w:rPr>
                <w:b/>
              </w:rPr>
            </w:pPr>
            <w:bookmarkStart w:id="5" w:name="xdx_905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E_edei--EntityFileNumber_c20260902"/>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b/>
              </w:rPr>
            </w:pPr>
            <w:bookmarkStart w:id="7" w:name="xdx_90A_edei--EntityTaxIdentificationNum"/>
            <w:bookmarkEnd w:id="7"/>
            <w:r>
              <w:rPr>
                <w:b/>
              </w:rPr>
              <w:t>85-2104918</w:t>
            </w:r>
          </w:p>
        </w:tc>
      </w:tr>
      <w:tr>
        <w:trPr/>
        <w:tc>
          <w:tcPr>
            <w:tcW w:w="22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b w:val="false"/>
                <w:i/>
              </w:rPr>
            </w:pPr>
            <w:r>
              <w:rPr>
                <w:b w:val="false"/>
                <w:i/>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Four Palo Alto Square, </w:t>
      </w:r>
      <w:bookmarkStart w:id="9" w:name="xdx_908_edei--EntityAddressAddressLine2_"/>
      <w:bookmarkEnd w:id="9"/>
      <w:r>
        <w:rPr>
          <w:rFonts w:ascii="Times New Roman;Times;Serif" w:hAnsi="Times New Roman;Times;Serif"/>
          <w:b/>
          <w:i w:val="false"/>
          <w:caps w:val="false"/>
          <w:smallCaps w:val="false"/>
          <w:sz w:val="20"/>
        </w:rPr>
        <w:t>Suite 200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bookmarkStart w:id="10" w:name="xdx_907_edei--EntityAddressAddressLine3_"/>
      <w:bookmarkEnd w:id="10"/>
      <w:r>
        <w:rPr>
          <w:rFonts w:ascii="Times New Roman;Times;Serif" w:hAnsi="Times New Roman;Times;Serif"/>
          <w:b/>
          <w:i w:val="false"/>
          <w:caps w:val="false"/>
          <w:smallCaps w:val="false"/>
          <w:sz w:val="20"/>
        </w:rPr>
        <w:t>3000 El Camino Real</w:t>
      </w:r>
      <w:r>
        <w:rPr>
          <w:rFonts w:ascii="Times New Roman;Times;Serif" w:hAnsi="Times New Roman;Times;Serif"/>
          <w:b w:val="false"/>
          <w:i w:val="false"/>
          <w:caps w:val="false"/>
          <w:smallCaps w:val="false"/>
          <w:sz w:val="20"/>
        </w:rPr>
        <w:br/>
      </w:r>
      <w:bookmarkStart w:id="11" w:name="xdx_90D_ecustom--EntityAddressAddressLin"/>
      <w:bookmarkEnd w:id="11"/>
      <w:r>
        <w:rPr>
          <w:rFonts w:ascii="Times New Roman;Times;Serif" w:hAnsi="Times New Roman;Times;Serif"/>
          <w:b/>
          <w:i w:val="false"/>
          <w:caps w:val="false"/>
          <w:smallCaps w:val="false"/>
          <w:sz w:val="20"/>
        </w:rPr>
        <w:t xml:space="preserve">Palo Alto, </w:t>
      </w:r>
      <w:bookmarkStart w:id="12" w:name="xdx_90E_edei--EntityAddressStateOrProvin"/>
      <w:bookmarkEnd w:id="12"/>
      <w:r>
        <w:rPr>
          <w:rFonts w:ascii="Times New Roman;Times;Serif" w:hAnsi="Times New Roman;Times;Serif"/>
          <w:b/>
          <w:i w:val="false"/>
          <w:caps w:val="false"/>
          <w:smallCaps w:val="false"/>
          <w:sz w:val="20"/>
        </w:rPr>
        <w:t xml:space="preserve">California </w:t>
      </w:r>
      <w:bookmarkStart w:id="13" w:name="xdx_905_edei--EntityAddressPostalZipCode"/>
      <w:bookmarkEnd w:id="13"/>
      <w:r>
        <w:rPr>
          <w:rFonts w:ascii="Times New Roman;Times;Serif" w:hAnsi="Times New Roman;Times;Serif"/>
          <w:b/>
          <w:i w:val="false"/>
          <w:caps w:val="false"/>
          <w:smallCaps w:val="false"/>
          <w:sz w:val="20"/>
        </w:rPr>
        <w:t>94306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bookmarkStart w:id="14" w:name="xdx_903_edei--EntityAddressCityOrTown_c2"/>
      <w:bookmarkEnd w:id="14"/>
      <w:r>
        <w:rPr>
          <w:rFonts w:ascii="Times New Roman;Times;Serif" w:hAnsi="Times New Roman;Times;Serif"/>
          <w:b/>
          <w:i w:val="false"/>
          <w:caps w:val="false"/>
          <w:smallCaps w:val="false"/>
          <w:sz w:val="20"/>
        </w:rPr>
        <w:t>California</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E_edei--CityAreaCode_c20260902__20"/>
      <w:bookmarkEnd w:id="15"/>
      <w:r>
        <w:rPr>
          <w:rFonts w:ascii="Times New Roman;Times;Serif" w:hAnsi="Times New Roman;Times;Serif"/>
          <w:b/>
          <w:i w:val="false"/>
          <w:caps w:val="false"/>
          <w:smallCaps w:val="false"/>
          <w:sz w:val="20"/>
        </w:rPr>
        <w:t xml:space="preserve">(650) </w:t>
      </w:r>
      <w:bookmarkStart w:id="16" w:name="xdx_90B_edei--LocalPhoneNumber_c20260902"/>
      <w:bookmarkEnd w:id="16"/>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WrittenCommunications_c202"/>
            <w:bookmarkEnd w:id="17"/>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SolicitingMaterial_c202609"/>
            <w:bookmarkEnd w:id="18"/>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B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5_edei--PreCommencementIssuerTende"/>
            <w:bookmarkEnd w:id="20"/>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1" w:name="xdx_902_edei--Security12bTitle_c20260902"/>
            <w:bookmarkEnd w:id="21"/>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2" w:name="xdx_90A_edei--TradingSymbol_c20260902__2"/>
            <w:bookmarkEnd w:id="22"/>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3" w:name="xdx_90C_edei--SecurityExchangeName_c2026"/>
            <w:bookmarkEnd w:id="23"/>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4" w:name="xdx_903_edei--Security12bTitle_c20260902"/>
            <w:bookmarkEnd w:id="24"/>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5" w:name="xdx_902_edei--TradingSymbol_c20260902__2"/>
            <w:bookmarkEnd w:id="25"/>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6" w:name="xdx_909_edei--SecurityExchangeName_c2026"/>
            <w:bookmarkEnd w:id="26"/>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6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81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3.01</w:t>
            </w:r>
          </w:p>
        </w:tc>
        <w:tc>
          <w:tcPr>
            <w:tcW w:w="8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2025, CXApp Inc. (the “Company”) received written notification from the Listing Qualifications Department of The Nasdaq Stock Market LLC (“Nasdaq”) indicating that the Company’s Class A Common Stock had failed to maintain a minimum closing bid price of $1.00 per share over the prior 30 consecutive business days, as required by Nasdaq Listing Rule 5550(a)(2). In accordance with Nasdaq Listing Rule 5810(c)(3)(A), the Company was provided an initial compliance period of 180 calendar days, or until March 10,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Nasdaq granted the Company an additional 180 calendar days, or until September 7, 2026, to regain compliance with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effected a 1-for-50 reverse stock split of its outstanding shares of Class A Common Stock, which became effective at 12:01 a.m. Eastern Time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letter dated September 2, 2026, the Listing Qualifications Department of Nasdaq notified the Company that for the 10 consecutive business days from August 19, 2026 through September 1, 2026, the closing bid price of the Company’s Class A Common Stock had been at $1.00 per share or greater. Accordingly, the Company has regained compliance with Nasdaq Listing Rule 5550(a)(2), and Nasdaq has confirmed that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compliance letter from Nasdaq dated September 2, 2026 is filed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81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Company issued a press release disclosing the Company has regained compliance with Nasdaq Listing Rule 5550(a)(2), which is furnished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99.2 attached hereto, is being furnished and shall not be deemed “filed” for purposes of Section 18 of the Securities Exchange Act of 1934, as amended (the “Exchange Act”), or otherwise subject to the liabilities of that section. The information contained in this Item 7.01, including Exhibit 99.2 attached hereto, shall not be incorporated by reference into any registration statement or other document filed under the Securities Act of 1933, as amended, or the Exchange Act, except as expressly set forth by specific reference in such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4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w:t>
            </w:r>
          </w:p>
        </w:tc>
        <w:tc>
          <w:tcPr>
            <w:tcW w:w="7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6"/>
        <w:gridCol w:w="60"/>
        <w:gridCol w:w="9299"/>
      </w:tblGrid>
      <w:tr>
        <w:trPr/>
        <w:tc>
          <w:tcPr>
            <w:tcW w:w="84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9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both"/>
              <w:rPr/>
            </w:pPr>
            <w:hyperlink w:anchor="cxappinc_ex99-1.htm">
              <w:r>
                <w:rPr>
                  <w:rStyle w:val="InternetLink"/>
                  <w:rFonts w:ascii="Times New Roman;Times;Serif" w:hAnsi="Times New Roman;Times;Serif"/>
                  <w:b w:val="false"/>
                  <w:i w:val="false"/>
                  <w:caps w:val="false"/>
                  <w:smallCaps w:val="false"/>
                  <w:sz w:val="20"/>
                </w:rPr>
                <w:t>Letter from the Listing Qualifications Department of The Nasdaq Stock Market LLC to CXApp Inc., dated September 2, 2026, confirming regained compliance with Nasdaq Listing Rule 5550(a)(2).</w:t>
              </w:r>
            </w:hyperlink>
          </w:p>
        </w:tc>
      </w:tr>
      <w:tr>
        <w:trPr/>
        <w:tc>
          <w:tcPr>
            <w:tcW w:w="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both"/>
              <w:rPr/>
            </w:pPr>
            <w:hyperlink w:anchor="cxappinc_ex99-2.htm">
              <w:r>
                <w:rPr>
                  <w:rStyle w:val="InternetLink"/>
                  <w:rFonts w:ascii="Times New Roman;Times;Serif" w:hAnsi="Times New Roman;Times;Serif"/>
                  <w:b w:val="false"/>
                  <w:i w:val="false"/>
                  <w:caps w:val="false"/>
                  <w:smallCaps w:val="false"/>
                  <w:sz w:val="20"/>
                </w:rPr>
                <w:t>Press release issued by CXApp Inc. on September 3, 2026, announcing the Company’s regained compliance with Nasdaq Listing Rule 5550(a)(2) (furnished herewith).</w:t>
              </w:r>
            </w:hyperlink>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2030"/>
        <w:gridCol w:w="545"/>
        <w:gridCol w:w="3140"/>
      </w:tblGrid>
      <w:tr>
        <w:trPr/>
        <w:tc>
          <w:tcPr>
            <w:tcW w:w="203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CXApp Inc.</w:t>
            </w:r>
          </w:p>
        </w:tc>
      </w:tr>
      <w:tr>
        <w:trPr/>
        <w:tc>
          <w:tcPr>
            <w:tcW w:w="203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8" w:name="cxappinc_ex99-1.htm"/>
      <w:bookmarkStart w:id="29" w:name="kscxappinc_ex99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tbl>
      <w:tblPr>
        <w:tblW w:w="5645" w:type="dxa"/>
        <w:jc w:val="left"/>
        <w:tblInd w:w="0" w:type="dxa"/>
        <w:tblLayout w:type="fixed"/>
        <w:tblCellMar>
          <w:top w:w="0" w:type="dxa"/>
          <w:left w:w="0" w:type="dxa"/>
          <w:bottom w:w="0" w:type="dxa"/>
          <w:right w:w="0" w:type="dxa"/>
        </w:tblCellMar>
      </w:tblPr>
      <w:tblGrid>
        <w:gridCol w:w="3830"/>
        <w:gridCol w:w="1815"/>
      </w:tblGrid>
      <w:tr>
        <w:trPr/>
        <w:tc>
          <w:tcPr>
            <w:tcW w:w="3830" w:type="dxa"/>
            <w:tcBorders/>
            <w:vAlign w:val="center"/>
          </w:tcPr>
          <w:p>
            <w:pPr>
              <w:pStyle w:val="TableContents"/>
              <w:bidi w:val="0"/>
              <w:spacing w:before="0" w:after="283"/>
              <w:jc w:val="left"/>
              <w:rPr/>
            </w:pPr>
            <w:r>
              <w:rPr>
                <w:color w:val="009EC5"/>
                <w:sz w:val="32"/>
              </w:rPr>
              <w:t>Nasdaq</w:t>
            </w:r>
            <w:r>
              <w:rPr/>
              <w:t xml:space="preserve"> </w:t>
            </w:r>
            <w:r>
              <w:rPr>
                <w:sz w:val="32"/>
              </w:rPr>
              <w:t>Listing Qualifications</w:t>
            </w:r>
          </w:p>
        </w:tc>
        <w:tc>
          <w:tcPr>
            <w:tcW w:w="1815" w:type="dxa"/>
            <w:tcBorders/>
            <w:vAlign w:val="center"/>
          </w:tcPr>
          <w:p>
            <w:pPr>
              <w:pStyle w:val="TableContents"/>
              <w:bidi w:val="0"/>
              <w:spacing w:before="0" w:after="283"/>
              <w:jc w:val="right"/>
              <w:rPr/>
            </w:pPr>
            <w:r>
              <w:rPr/>
              <w:drawing>
                <wp:inline distT="0" distB="0" distL="0" distR="0">
                  <wp:extent cx="11430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3238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Sent via Electronic Delivery to</w:t>
      </w:r>
      <w:r>
        <w:rPr>
          <w:rFonts w:ascii="Times New Roman;Times;Serif" w:hAnsi="Times New Roman;Times;Serif"/>
          <w:b w:val="false"/>
          <w:i/>
          <w:caps w:val="false"/>
          <w:smallCaps w:val="false"/>
          <w:sz w:val="20"/>
        </w:rPr>
        <w:t>: khurram@cxapp.com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Khurram Sheikh</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w:t>
      </w:r>
    </w:p>
    <w:p>
      <w:pPr>
        <w:pStyle w:val="TextBody"/>
        <w:bidi w:val="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365"/>
        <w:gridCol w:w="2915"/>
      </w:tblGrid>
      <w:tr>
        <w:trPr/>
        <w:tc>
          <w:tcPr>
            <w:tcW w:w="365" w:type="dxa"/>
            <w:tcBorders/>
            <w:vAlign w:val="center"/>
          </w:tcPr>
          <w:p>
            <w:pPr>
              <w:pStyle w:val="TableContents"/>
              <w:bidi w:val="0"/>
              <w:spacing w:before="0" w:after="283"/>
              <w:jc w:val="left"/>
              <w:rPr/>
            </w:pPr>
            <w:r>
              <w:rPr/>
              <w:t>Re:</w:t>
            </w:r>
          </w:p>
        </w:tc>
        <w:tc>
          <w:tcPr>
            <w:tcW w:w="2915" w:type="dxa"/>
            <w:tcBorders/>
            <w:vAlign w:val="center"/>
          </w:tcPr>
          <w:p>
            <w:pPr>
              <w:pStyle w:val="TableContents"/>
              <w:bidi w:val="0"/>
              <w:spacing w:before="0" w:after="283"/>
              <w:jc w:val="left"/>
              <w:rPr/>
            </w:pPr>
            <w:r>
              <w:rPr/>
              <w:t>CXApp Inc. (the “Company”)</w:t>
              <w:br/>
              <w:t>Nasdaq Symbol: CXAI</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Sheikh: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2025, Staff notified the Company that its Class A Common Stock failed to maintain a minimum bid price of $1.00 over the previous 30 consecutive business days as required by the Listing Rules of The Nasdaq Stock Market. Since then, Staff has determined that for the last 10 consecutive business days, from August 19, 2026 to September 1, 2026, the closing bid price of the Company’s Class A Common Stock has been at $1.00 per share or greater. Accordingly, the Company has regained compliance with Listing Rule 5550(a)(2), and this matter is now closed.</w:t>
      </w:r>
      <w:r>
        <w:rPr>
          <w:rFonts w:ascii="Times New Roman;Times;Serif" w:hAnsi="Times New Roman;Times;Serif"/>
          <w:b w:val="false"/>
          <w:i w:val="false"/>
          <w:caps w:val="false"/>
          <w:smallCaps w:val="false"/>
          <w:position w:val="7"/>
          <w:sz w:val="16"/>
          <w:sz w:val="20"/>
        </w:rPr>
        <w:t>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contact Ellen Ignacio at +1 (202) 441 5613.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Qualifications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120" w:type="dxa"/>
          <w:right w:w="0" w:type="dxa"/>
        </w:tblCellMar>
      </w:tblPr>
      <w:tblGrid>
        <w:gridCol w:w="200"/>
        <w:gridCol w:w="10005"/>
      </w:tblGrid>
      <w:tr>
        <w:trPr/>
        <w:tc>
          <w:tcPr>
            <w:tcW w:w="200" w:type="dxa"/>
            <w:tcBorders>
              <w:bottom w:val="single" w:sz="8" w:space="0" w:color="DCDCDC"/>
            </w:tcBorders>
            <w:vAlign w:val="center"/>
          </w:tcPr>
          <w:p>
            <w:pPr>
              <w:pStyle w:val="TableContents"/>
              <w:bidi w:val="0"/>
              <w:spacing w:before="0" w:after="283"/>
              <w:jc w:val="left"/>
              <w:rPr/>
            </w:pPr>
            <w:r>
              <w:rPr>
                <w:position w:val="8"/>
                <w:sz w:val="19"/>
              </w:rPr>
              <w:t>1</w:t>
            </w:r>
            <w:r>
              <w:rPr/>
              <w:t> </w:t>
            </w:r>
          </w:p>
        </w:tc>
        <w:tc>
          <w:tcPr>
            <w:tcW w:w="10005" w:type="dxa"/>
            <w:tcBorders>
              <w:bottom w:val="single" w:sz="8" w:space="0" w:color="DCDCDC"/>
            </w:tcBorders>
            <w:vAlign w:val="center"/>
          </w:tcPr>
          <w:p>
            <w:pPr>
              <w:pStyle w:val="TableContents"/>
              <w:bidi w:val="0"/>
              <w:spacing w:before="0" w:after="283"/>
              <w:jc w:val="both"/>
              <w:rPr/>
            </w:pPr>
            <w:r>
              <w:rPr/>
              <w:t>Staff notes that Listing Rule 5810(c)(3)(A)(iv) states in part, “if a Company’s security fails to meet the continued listing requirement for minimum bid price and the Company has effected a reverse stock split over the prior one-year period; or has effected one or more reverse stock splits over the prior two-year period with a cumulative ratio of 250 shares or more to one, then the Company shall not be eligible for any compliance period specified in this Rule 5810(c)(3)(A) and the Listing Qualifications Department shall issue a Staff Delisting Determination under Rule 5810 with respect to that security.”</w:t>
            </w:r>
          </w:p>
        </w:tc>
      </w:tr>
    </w:tbl>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drawing>
          <wp:inline distT="0" distB="0" distL="0" distR="0">
            <wp:extent cx="17145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190500"/>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color w:val="000000"/>
        </w:rPr>
      </w:pPr>
      <w:bookmarkStart w:id="30" w:name="cxappinc_ex99-2.htm"/>
      <w:bookmarkStart w:id="31" w:name="kscxappinc_ex992"/>
      <w:bookmarkEnd w:id="30"/>
      <w:bookmarkEnd w:id="31"/>
      <w:r>
        <w:rPr>
          <w:caps w:val="false"/>
          <w:smallCaps w:val="false"/>
          <w:color w:val="000000"/>
        </w:rPr>
        <w:t> </w:t>
      </w:r>
      <w:r>
        <w:br w:type="page"/>
      </w:r>
    </w:p>
    <w:p>
      <w:pPr>
        <w:pStyle w:val="TextBody"/>
        <w:bidi w:val="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99.2</w:t>
      </w:r>
    </w:p>
    <w:p>
      <w:pPr>
        <w:pStyle w:val="TextBody"/>
        <w:bidi w:val="0"/>
        <w:jc w:val="left"/>
        <w:rPr>
          <w:caps w:val="false"/>
          <w:smallCaps w:val="false"/>
          <w:color w:val="000000"/>
        </w:rPr>
      </w:pPr>
      <w:r>
        <w:rPr>
          <w:caps w:val="false"/>
          <w:smallCaps w:val="false"/>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238125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2333625"/>
                    </a:xfrm>
                    <a:prstGeom prst="rect">
                      <a:avLst/>
                    </a:prstGeom>
                  </pic:spPr>
                </pic:pic>
              </a:graphicData>
            </a:graphic>
          </wp:inline>
        </w:drawing>
      </w:r>
    </w:p>
    <w:p>
      <w:pPr>
        <w:pStyle w:val="TextBody"/>
        <w:bidi w:val="0"/>
        <w:jc w:val="left"/>
        <w:rPr>
          <w:caps w:val="false"/>
          <w:smallCaps w:val="false"/>
          <w:color w:val="000000"/>
        </w:rPr>
      </w:pPr>
      <w:r>
        <w:rPr>
          <w:caps w:val="false"/>
          <w:smallCaps w:val="false"/>
          <w:color w:val="000000"/>
        </w:rPr>
        <w:t> </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CXAI Regains Compliance with Nasdaq Minimum Bid Price Requirement</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Nasdaq Confirms Minimum Bid Price Matter Closed as CXAI Focuses on Execution of CXAI 2.0 Growth Strategy</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PALO ALTO, CA / September 3, 2026</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i w:val="false"/>
          <w:caps w:val="false"/>
          <w:smallCaps w:val="false"/>
          <w:color w:val="000000"/>
          <w:sz w:val="20"/>
        </w:rPr>
        <w:t>/ CXApp Inc. (NASDAQ: CXAI)</w:t>
      </w:r>
      <w:r>
        <w:rPr>
          <w:rFonts w:ascii="Times New Roman;Times;Serif" w:hAnsi="Times New Roman;Times;Serif"/>
          <w:b w:val="false"/>
          <w:i w:val="false"/>
          <w:caps w:val="false"/>
          <w:smallCaps w:val="false"/>
          <w:color w:val="000000"/>
          <w:sz w:val="20"/>
        </w:rPr>
        <w:t xml:space="preserve"> (“CXAI” or the “Company”), an enterprise AI company focused on transforming how people, places and businesses operate, today announced that it has received formal notification from The Nasdaq Stock Market LLC (“Nasdaq”) confirming that the Company has regained compliance with Nasdaq Listing Rule 5550(a)(2), the minimum bid price requirement for continued listing on The Nasdaq Capital Market.</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Nasdaq determined that the closing bid price of CXAI’s Class A common stock was at or above $1.00 per share for 10 consecutive business days, from August 19, 2026 through September 1, 2026. Accordingly, Nasdaq has confirmed that the Company has regained compliance with the minimum bid price requirement and that the matter is now closed.</w:t>
      </w:r>
    </w:p>
    <w:p>
      <w:pPr>
        <w:pStyle w:val="TextBody"/>
        <w:bidi w:val="0"/>
        <w:jc w:val="left"/>
        <w:rPr>
          <w:caps w:val="false"/>
          <w:smallCaps w:val="false"/>
          <w:color w:val="000000"/>
        </w:rPr>
      </w:pPr>
      <w:r>
        <w:rPr>
          <w:caps w:val="false"/>
          <w:smallCaps w:val="false"/>
          <w:color w:val="000000"/>
        </w:rPr>
        <w:t> </w:t>
      </w:r>
    </w:p>
    <w:p>
      <w:pPr>
        <w:pStyle w:val="TextBody"/>
        <w:bidi w:val="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This is an important milestone for CXAI and removes an uncertainty that has been overhanging our company,” said </w:t>
      </w:r>
      <w:r>
        <w:rPr>
          <w:rFonts w:ascii="Times New Roman;Times;Serif" w:hAnsi="Times New Roman;Times;Serif"/>
          <w:b/>
          <w:i w:val="false"/>
          <w:caps w:val="false"/>
          <w:smallCaps w:val="false"/>
          <w:color w:val="000000"/>
          <w:sz w:val="20"/>
        </w:rPr>
        <w:t>Khurram Sheikh, Chairman and Chief Executive Officer of CXAI</w:t>
      </w:r>
      <w:r>
        <w:rPr>
          <w:rFonts w:ascii="Times New Roman;Times;Serif" w:hAnsi="Times New Roman;Times;Serif"/>
          <w:b w:val="false"/>
          <w:i w:val="false"/>
          <w:caps w:val="false"/>
          <w:smallCaps w:val="false"/>
          <w:color w:val="000000"/>
          <w:sz w:val="20"/>
        </w:rPr>
        <w:t>. “With this matter now formally closed, our focus is squarely on execution and building long-term shareholder value.”</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Sheikh continued, “We have entered an important new phase for CXAI. Following the expansion of our platform and the addition of EngineRoom, we are advancing </w:t>
      </w:r>
      <w:r>
        <w:rPr>
          <w:rFonts w:ascii="Times New Roman;Times;Serif" w:hAnsi="Times New Roman;Times;Serif"/>
          <w:b/>
          <w:i w:val="false"/>
          <w:caps w:val="false"/>
          <w:smallCaps w:val="false"/>
          <w:color w:val="000000"/>
          <w:sz w:val="20"/>
        </w:rPr>
        <w:t>CXAI 2.0</w:t>
      </w:r>
      <w:r>
        <w:rPr>
          <w:rFonts w:ascii="Times New Roman;Times;Serif" w:hAnsi="Times New Roman;Times;Serif"/>
          <w:b w:val="false"/>
          <w:i w:val="false"/>
          <w:caps w:val="false"/>
          <w:smallCaps w:val="false"/>
          <w:color w:val="000000"/>
          <w:sz w:val="20"/>
        </w:rPr>
        <w:t> — bringing together enterprise AI, Agentic AI capabilities, operational intelligence and an expanded mid-market distribution engine. We believe we now have a stronger foundation from which to accelerate product innovation, expand our customer reach and drive greater operating leverage.”</w:t>
      </w:r>
    </w:p>
    <w:p>
      <w:pPr>
        <w:pStyle w:val="TextBody"/>
        <w:bidi w:val="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Focused on the Next Phase of CXAI</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CXAI’s strategy is centered on expanding its AI platform across three interconnected dimensions:</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Place</w:t>
      </w:r>
      <w:r>
        <w:rPr>
          <w:rFonts w:ascii="Times New Roman;Times;Serif" w:hAnsi="Times New Roman;Times;Serif"/>
          <w:b w:val="false"/>
          <w:i w:val="false"/>
          <w:caps w:val="false"/>
          <w:smallCaps w:val="false"/>
          <w:color w:val="000000"/>
          <w:sz w:val="20"/>
        </w:rPr>
        <w:t> — applying AI and real-time intelligence to understand and optimize the environments where people work.</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Person</w:t>
      </w:r>
      <w:r>
        <w:rPr>
          <w:rFonts w:ascii="Times New Roman;Times;Serif" w:hAnsi="Times New Roman;Times;Serif"/>
          <w:b w:val="false"/>
          <w:i w:val="false"/>
          <w:caps w:val="false"/>
          <w:smallCaps w:val="false"/>
          <w:color w:val="000000"/>
          <w:sz w:val="20"/>
        </w:rPr>
        <w:t> — using Agentic AI to help individuals and teams turn enterprise context into prioritized actions and measurable outcomes.</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Business</w:t>
      </w:r>
      <w:r>
        <w:rPr>
          <w:rFonts w:ascii="Times New Roman;Times;Serif" w:hAnsi="Times New Roman;Times;Serif"/>
          <w:b w:val="false"/>
          <w:i w:val="false"/>
          <w:caps w:val="false"/>
          <w:smallCaps w:val="false"/>
          <w:color w:val="000000"/>
          <w:sz w:val="20"/>
        </w:rPr>
        <w:t> — connecting operational, customer and commercial data to intelligence designed to improve business decisions and drive growth.</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believes its expanded platform, customer relationships and distribution capabilities position CXAI to pursue growth across both enterprise and mid-market customers while continuing to focus on operational efficiency and a path toward profitable growth.</w:t>
      </w:r>
    </w:p>
    <w:p>
      <w:pPr>
        <w:pStyle w:val="TextBody"/>
        <w:bidi w:val="0"/>
        <w:jc w:val="left"/>
        <w:rPr>
          <w:caps w:val="false"/>
          <w:smallCaps w:val="false"/>
          <w:color w:val="000000"/>
        </w:rPr>
      </w:pPr>
      <w:r>
        <w:rPr>
          <w:caps w:val="false"/>
          <w:smallCaps w:val="false"/>
          <w:color w:val="000000"/>
        </w:rPr>
        <w:t> </w:t>
      </w:r>
    </w:p>
    <w:p>
      <w:pPr>
        <w:pStyle w:val="TextBody"/>
        <w:bidi w:val="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Nasdaq compliance is an important milestone, but it is not the destination,” Sheikh added. “Our objective is to translate the foundation we have built into products, customers, revenue growth and operating leverage. That is where our attention is now focused.”</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CXApp Inc.</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CXApp Inc. is an enterprise agentic AI platform company focused on helping organizations improve productivity, automate workflows and enhance business performance through artificial intelligence.</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platform combines operational intelligence, analytics, workplace technologies and intelligent automation to deliver measurable business outcomes across enterprise and mid-market organizations.</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CXAI serves customers across technology, financial services, healthcare, media and other industries while expanding its AI capabilities through both organic growth and strategic acquisitions.</w:t>
      </w:r>
    </w:p>
    <w:p>
      <w:pPr>
        <w:pStyle w:val="TextBody"/>
        <w:bidi w:val="0"/>
        <w:jc w:val="left"/>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www.cxapp.com</w:t>
      </w:r>
    </w:p>
    <w:p>
      <w:pPr>
        <w:pStyle w:val="TextBody"/>
        <w:bidi w:val="0"/>
        <w:jc w:val="left"/>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CXApp Inc.: marketing@cxapp.com</w:t>
      </w:r>
    </w:p>
    <w:p>
      <w:pPr>
        <w:pStyle w:val="TextBody"/>
        <w:bidi w:val="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Forward-Looking Statements</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jc w:val="left"/>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 xml:space="preserve">SOURCE: </w:t>
      </w:r>
      <w:r>
        <w:rPr>
          <w:rFonts w:ascii="Times New Roman;Times;Serif" w:hAnsi="Times New Roman;Times;Serif"/>
          <w:b w:val="false"/>
          <w:i w:val="false"/>
          <w:caps w:val="false"/>
          <w:smallCaps w:val="false"/>
          <w:color w:val="000000"/>
          <w:sz w:val="20"/>
        </w:rPr>
        <w:t>CXApp Inc.</w:t>
      </w:r>
    </w:p>
    <w:p>
      <w:pPr>
        <w:pStyle w:val="TextBody"/>
        <w:bidi w:val="0"/>
        <w:jc w:val="left"/>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Topic: Regulatory</w:t>
      </w:r>
    </w:p>
    <w:p>
      <w:pPr>
        <w:pStyle w:val="TextBody"/>
        <w:bidi w:val="0"/>
        <w:jc w:val="left"/>
        <w:rPr>
          <w:color w:val="000000"/>
        </w:rPr>
      </w:pPr>
      <w:r>
        <w:rPr>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1992</Words>
  <Characters>11260</Characters>
  <CharactersWithSpaces>13260</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