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4000" w:right="1120" w:hanging="2874"/>
        <w:spacing w:after="0" w:line="493" w:lineRule="auto"/>
        <w:tabs>
          <w:tab w:leader="none" w:pos="1328"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2023</w:t>
      </w:r>
    </w:p>
    <w:p>
      <w:pPr>
        <w:ind w:left="55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3"/>
          </w:tcPr>
          <w:p>
            <w:pPr>
              <w:ind w:left="382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w:t>
            </w:r>
          </w:p>
        </w:tc>
      </w:tr>
      <w:tr>
        <w:trPr>
          <w:trHeight w:val="432"/>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No. 001-39642</w:t>
            </w:r>
          </w:p>
        </w:tc>
      </w:tr>
      <w:tr>
        <w:trPr>
          <w:trHeight w:val="495"/>
        </w:trPr>
        <w:tc>
          <w:tcPr>
            <w:tcW w:w="6440" w:type="dxa"/>
            <w:vAlign w:val="bottom"/>
            <w:gridSpan w:val="3"/>
          </w:tcPr>
          <w:p>
            <w:pPr>
              <w:jc w:val="center"/>
              <w:ind w:left="4727"/>
              <w:spacing w:after="0"/>
              <w:rPr>
                <w:sz w:val="20"/>
                <w:szCs w:val="20"/>
                <w:color w:val="auto"/>
              </w:rPr>
            </w:pPr>
            <w:r>
              <w:rPr>
                <w:rFonts w:ascii="Times New Roman" w:cs="Times New Roman" w:eastAsia="Times New Roman" w:hAnsi="Times New Roman"/>
                <w:sz w:val="25"/>
                <w:szCs w:val="25"/>
                <w:b w:val="1"/>
                <w:bCs w:val="1"/>
                <w:color w:val="auto"/>
              </w:rPr>
              <w:t>CXApp Inc.</w:t>
            </w:r>
          </w:p>
        </w:tc>
        <w:tc>
          <w:tcPr>
            <w:tcW w:w="4800" w:type="dxa"/>
            <w:vAlign w:val="bottom"/>
          </w:tcPr>
          <w:p>
            <w:pPr>
              <w:spacing w:after="0"/>
              <w:rPr>
                <w:sz w:val="24"/>
                <w:szCs w:val="24"/>
                <w:color w:val="auto"/>
              </w:rPr>
            </w:pPr>
          </w:p>
        </w:tc>
      </w:tr>
      <w:tr>
        <w:trPr>
          <w:trHeight w:val="234"/>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46"/>
        </w:trPr>
        <w:tc>
          <w:tcPr>
            <w:tcW w:w="64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85-2104918</w:t>
            </w:r>
          </w:p>
        </w:tc>
      </w:tr>
      <w:tr>
        <w:trPr>
          <w:trHeight w:val="187"/>
        </w:trPr>
        <w:tc>
          <w:tcPr>
            <w:tcW w:w="5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jc w:val="center"/>
              <w:ind w:right="6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4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8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4"/>
        </w:trPr>
        <w:tc>
          <w:tcPr>
            <w:tcW w:w="64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rPr>
              <w:t>Four Palo Alto Square, Suite 200</w:t>
            </w:r>
          </w:p>
        </w:tc>
        <w:tc>
          <w:tcPr>
            <w:tcW w:w="4800" w:type="dxa"/>
            <w:vAlign w:val="bottom"/>
          </w:tcPr>
          <w:p>
            <w:pPr>
              <w:spacing w:after="0"/>
              <w:rPr>
                <w:sz w:val="24"/>
                <w:szCs w:val="24"/>
                <w:color w:val="auto"/>
              </w:rPr>
            </w:pPr>
          </w:p>
        </w:tc>
      </w:tr>
      <w:tr>
        <w:trPr>
          <w:trHeight w:val="216"/>
        </w:trPr>
        <w:tc>
          <w:tcPr>
            <w:tcW w:w="64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rPr>
              <w:t>3000 El Camino Real</w:t>
            </w:r>
          </w:p>
        </w:tc>
        <w:tc>
          <w:tcPr>
            <w:tcW w:w="4800" w:type="dxa"/>
            <w:vAlign w:val="bottom"/>
          </w:tcPr>
          <w:p>
            <w:pPr>
              <w:spacing w:after="0"/>
              <w:rPr>
                <w:sz w:val="18"/>
                <w:szCs w:val="18"/>
                <w:color w:val="auto"/>
              </w:rPr>
            </w:pPr>
          </w:p>
        </w:tc>
      </w:tr>
      <w:tr>
        <w:trPr>
          <w:trHeight w:val="234"/>
        </w:trPr>
        <w:tc>
          <w:tcPr>
            <w:tcW w:w="64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Palo Alto, CA</w:t>
            </w:r>
          </w:p>
        </w:tc>
        <w:tc>
          <w:tcPr>
            <w:tcW w:w="48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94306</w:t>
            </w:r>
          </w:p>
        </w:tc>
      </w:tr>
      <w:tr>
        <w:trPr>
          <w:trHeight w:val="232"/>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800" w:type="dxa"/>
            <w:vAlign w:val="bottom"/>
            <w:tcBorders>
              <w:top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785-7171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CXAI</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CXAIW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shares of Class A common stock outstanding, other than shares held by persons who may be deemed affiliates of the Registrant, computed as of June 30, 2023 (the last business day of the Registrant’s most recently completed second fiscal quarter) was approximately $93,723,073.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20, 2024, there were 15,254,389 shares of the Registrant’s Class A common stock, par value $0.0001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60" w:type="dxa"/>
            <w:vAlign w:val="bottom"/>
            <w:gridSpan w:val="10"/>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CXAPP INC.</w:t>
            </w:r>
          </w:p>
        </w:tc>
        <w:tc>
          <w:tcPr>
            <w:tcW w:w="100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gridSpan w:val="1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FORM 10-K FOR THE PERIOD ENDED DECEMBER 31, 2023</w:t>
            </w:r>
          </w:p>
        </w:tc>
        <w:tc>
          <w:tcPr>
            <w:tcW w:w="100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0" w:type="dxa"/>
            <w:vAlign w:val="bottom"/>
            <w:gridSpan w:val="11"/>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4"/>
                <w:szCs w:val="24"/>
                <w:color w:val="auto"/>
              </w:rPr>
            </w:pPr>
          </w:p>
        </w:tc>
      </w:tr>
      <w:tr>
        <w:trPr>
          <w:trHeight w:val="446"/>
        </w:trPr>
        <w:tc>
          <w:tcPr>
            <w:tcW w:w="4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1740" w:type="dxa"/>
            <w:vAlign w:val="bottom"/>
            <w:gridSpan w:val="10"/>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Part I.</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50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1A.</w:t>
            </w:r>
          </w:p>
        </w:tc>
        <w:tc>
          <w:tcPr>
            <w:tcW w:w="440" w:type="dxa"/>
            <w:vAlign w:val="bottom"/>
            <w:shd w:val="clear" w:color="auto" w:fill="CCEEFF"/>
          </w:tcPr>
          <w:p>
            <w:pPr>
              <w:spacing w:after="0"/>
              <w:rPr>
                <w:sz w:val="15"/>
                <w:szCs w:val="15"/>
                <w:color w:val="auto"/>
              </w:rPr>
            </w:pPr>
          </w:p>
        </w:tc>
        <w:tc>
          <w:tcPr>
            <w:tcW w:w="8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1B.</w:t>
            </w:r>
          </w:p>
        </w:tc>
        <w:tc>
          <w:tcPr>
            <w:tcW w:w="440" w:type="dxa"/>
            <w:vAlign w:val="bottom"/>
          </w:tcPr>
          <w:p>
            <w:pPr>
              <w:spacing w:after="0"/>
              <w:rPr>
                <w:sz w:val="15"/>
                <w:szCs w:val="15"/>
                <w:color w:val="auto"/>
              </w:rPr>
            </w:pPr>
          </w:p>
        </w:tc>
        <w:tc>
          <w:tcPr>
            <w:tcW w:w="8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1C.</w:t>
            </w:r>
          </w:p>
        </w:tc>
        <w:tc>
          <w:tcPr>
            <w:tcW w:w="8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460" w:type="dxa"/>
            <w:vAlign w:val="bottom"/>
            <w:tcBorders>
              <w:top w:val="single" w:sz="8" w:color="CCEEFF"/>
            </w:tcBorders>
            <w:gridSpan w:val="2"/>
          </w:tcPr>
          <w:p>
            <w:pPr>
              <w:spacing w:after="0"/>
              <w:rPr>
                <w:sz w:val="15"/>
                <w:szCs w:val="15"/>
                <w:color w:val="auto"/>
              </w:rPr>
            </w:pPr>
          </w:p>
        </w:tc>
        <w:tc>
          <w:tcPr>
            <w:tcW w:w="194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560" w:type="dxa"/>
            <w:vAlign w:val="bottom"/>
            <w:tcBorders>
              <w:top w:val="single" w:sz="8" w:color="CCEEFF"/>
            </w:tcBorders>
            <w:gridSpan w:val="1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7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8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7A.</w:t>
            </w:r>
          </w:p>
        </w:tc>
        <w:tc>
          <w:tcPr>
            <w:tcW w:w="8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8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Financial Statements and Supplementary Data.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8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9A.</w:t>
            </w:r>
          </w:p>
        </w:tc>
        <w:tc>
          <w:tcPr>
            <w:tcW w:w="440" w:type="dxa"/>
            <w:vAlign w:val="bottom"/>
            <w:shd w:val="clear" w:color="auto" w:fill="CCEEFF"/>
          </w:tcPr>
          <w:p>
            <w:pPr>
              <w:spacing w:after="0"/>
              <w:rPr>
                <w:sz w:val="17"/>
                <w:szCs w:val="17"/>
                <w:color w:val="auto"/>
              </w:rPr>
            </w:pPr>
          </w:p>
        </w:tc>
        <w:tc>
          <w:tcPr>
            <w:tcW w:w="8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6"/>
        </w:trPr>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8"/>
              </w:rPr>
              <w:t>Item 9B.</w:t>
            </w:r>
          </w:p>
        </w:tc>
        <w:tc>
          <w:tcPr>
            <w:tcW w:w="440" w:type="dxa"/>
            <w:vAlign w:val="bottom"/>
            <w:tcBorders>
              <w:top w:val="single" w:sz="8" w:color="CCEEFF"/>
            </w:tcBorders>
          </w:tcPr>
          <w:p>
            <w:pPr>
              <w:spacing w:after="0"/>
              <w:rPr>
                <w:sz w:val="15"/>
                <w:szCs w:val="15"/>
                <w:color w:val="auto"/>
              </w:rPr>
            </w:pPr>
          </w:p>
        </w:tc>
        <w:tc>
          <w:tcPr>
            <w:tcW w:w="180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700" w:type="dxa"/>
            <w:vAlign w:val="bottom"/>
            <w:tcBorders>
              <w:top w:val="single" w:sz="8" w:color="CCEEFF"/>
            </w:tcBorders>
            <w:gridSpan w:val="1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8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7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5"/>
        </w:trPr>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850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8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8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13.</w:t>
            </w:r>
          </w:p>
        </w:tc>
        <w:tc>
          <w:tcPr>
            <w:tcW w:w="480" w:type="dxa"/>
            <w:vAlign w:val="bottom"/>
            <w:tcBorders>
              <w:bottom w:val="single" w:sz="8" w:color="CCEEFF"/>
            </w:tcBorders>
            <w:gridSpan w:val="3"/>
            <w:shd w:val="clear" w:color="auto" w:fill="CCEEFF"/>
          </w:tcPr>
          <w:p>
            <w:pPr>
              <w:spacing w:after="0"/>
              <w:rPr>
                <w:sz w:val="17"/>
                <w:szCs w:val="17"/>
                <w:color w:val="auto"/>
              </w:rPr>
            </w:pPr>
          </w:p>
        </w:tc>
        <w:tc>
          <w:tcPr>
            <w:tcW w:w="55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00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5"/>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8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7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15.</w:t>
            </w:r>
          </w:p>
        </w:tc>
        <w:tc>
          <w:tcPr>
            <w:tcW w:w="480" w:type="dxa"/>
            <w:vAlign w:val="bottom"/>
            <w:tcBorders>
              <w:bottom w:val="single" w:sz="8" w:color="CCEEFF"/>
            </w:tcBorders>
            <w:gridSpan w:val="3"/>
            <w:shd w:val="clear" w:color="auto" w:fill="CCEEFF"/>
          </w:tcPr>
          <w:p>
            <w:pPr>
              <w:spacing w:after="0"/>
              <w:rPr>
                <w:sz w:val="17"/>
                <w:szCs w:val="17"/>
                <w:color w:val="auto"/>
              </w:rPr>
            </w:pPr>
          </w:p>
        </w:tc>
        <w:tc>
          <w:tcPr>
            <w:tcW w:w="29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556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6"/>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16.</w:t>
            </w:r>
          </w:p>
        </w:tc>
        <w:tc>
          <w:tcPr>
            <w:tcW w:w="480" w:type="dxa"/>
            <w:vAlign w:val="bottom"/>
            <w:gridSpan w:val="3"/>
          </w:tcPr>
          <w:p>
            <w:pPr>
              <w:spacing w:after="0"/>
              <w:rPr>
                <w:sz w:val="15"/>
                <w:szCs w:val="15"/>
                <w:color w:val="auto"/>
              </w:rPr>
            </w:pPr>
          </w:p>
        </w:tc>
        <w:tc>
          <w:tcPr>
            <w:tcW w:w="158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7"/>
              </w:rPr>
              <w:t>Form 10-K Summary.</w:t>
            </w:r>
          </w:p>
        </w:tc>
        <w:tc>
          <w:tcPr>
            <w:tcW w:w="6920" w:type="dxa"/>
            <w:vAlign w:val="bottom"/>
            <w:gridSpan w:val="16"/>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statements that are forward-looking and as such are not historical facts. This includes, without limitation, statements under “Item 7. Management’s Discussion and Analysis of Financial Condition and Results of Operations” regarding our financial position, business strategy and the plans and objectives of management for future operations. These statements constitute projections, forecasts, and forward-looking statements within the meaning of the Private Securities Litigation Reform Act of 1995. The words “anticipate,” “believe,” “continue,” “could,” “estimate,” “expect,” “intend,” “may,” “might,” “plan,” “possible,” “potential,” “predict,” “project,” “should,” “will,” “would” and similar expressions may identify forward-looking statements, but the absence of these words does not mean that a statement is not forward-looking.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Glossary of Terms can be found in the next page for further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summarizes the risks and uncertainties that could materially adversely affect our business, financial condition, results of operation and stock price. You should read this summary together with the more detailed description of each risk factor contained below. Unless the context otherwise requires, all references in this subsection to the “Company,” “we,” “us,” or “our” refer to the business of CXApp.</w:t>
      </w:r>
    </w:p>
    <w:p>
      <w:pPr>
        <w:spacing w:after="0" w:line="176"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there is no assurance that we will ever be able to earn sufficient revenue to achieve profitability or raise additional financing to successfully operate our business plan.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increase the size of our organization, and we may experience difficulties in managing growth, which could hurt our financial performance.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experienced and skilled personnel, and if we are unable to attract and integrate skilled personnel, it will be more difficult for us to manage our business and complete contracts.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protect our intellectual property rights, we may experience a loss of revenue and our operations and growth prospects may be materially harmed.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fluctuate substantially, which could cause the value of your investment to decline.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 guidance, or their interpretation or implementation, may materially adversely affect our reported results of operations or financial position.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the continued listing standards of Nasdaq, our common stock may be delisted, which could have a material adverse effect on the liquidity and market price of our common stock and expose us to litigation.</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identified material weaknesses in our internal control over financial reporting, which could, if not remediated, result in additional material misstatements in our interim or annual consolidated financial statements.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Unless otherwise stated in this Annual Report or the context otherwise requires, reference to:</w:t>
      </w:r>
    </w:p>
    <w:p>
      <w:pPr>
        <w:spacing w:after="0" w:line="225" w:lineRule="exact"/>
        <w:rPr>
          <w:sz w:val="20"/>
          <w:szCs w:val="20"/>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refers to the board of directors of CXApp;</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refers to the merger of Merger Sub with and into Legacy CXApp, with Legacy CXApp surviving the merger as a wholly-owned subsidiary of CXApp and the other transactions contemplated by the Merger Agreement;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refers to the existing bylaws of CXApp currently in effect;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refers to the existing amended and restated certificate of incorporation of CXApp currently in effect;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refers to the closing of the Merger;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“CXApp” refers to CXApp Inc., a Delaware Corporation;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Reactor” refers to Design Reactor Inc., a California corporation, which was formerly doing business under the name “The CXApp”;</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refers to distribution of the Enterprise Apps Business to the holders of Inpixon stock and other Inpixon securities on a certain record date through the distribution of all of the outstanding shares of Legacy CXApp capital stock to holders of Inpixon stock and other Inpixon securities on a certain record date on a pro rata, one for one basis, as described in the Separation and Distribution Agreement;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Time” refers to the time at which Distribution occurs, which is deemed to be 12:01 a.m., New York time on the date Distribution occurs;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refers to the General Corporation Law of the State of Delaware;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refers to the Employee Matters Agreement, dated March 14, 2023, by and among KINS, KINS Merger Sub Inc., Inpixon, and Legacy CXApp;</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Apps Business” refers to the business conducted by CXApp and its direct and indirect subsidiaries, including the business related to the (i) software-as-a-service app and mapping platforms which enable corporate enterprise organizations to provide a custom-branded, location-aware employee app focused on enhancing the workplace experience and hosting virtual and hybrid events, (ii) augmented reality (or AR), computer vision, localization, navigation, mapping, and 3D reconstruction technologies, and (iii) on-device “blue dot” indoor location and motion technologies;</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refers to accounting principles generally accepted in the United States of America;</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Plan” refers to the CXApp Inc. 2023 Equity Incentive Plan;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“Inpixon” refers to Inpixon, a Nevada corporation;</w:t>
      </w:r>
    </w:p>
    <w:p>
      <w:pPr>
        <w:spacing w:after="0" w:line="3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765" w:right="339" w:bottom="1440" w:gutter="0" w:footer="0" w:header="0"/>
        </w:sectPr>
      </w:pPr>
    </w:p>
    <w:bookmarkStart w:id="5" w:name="page6"/>
    <w:bookmarkEnd w:id="5"/>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refers to the U.S. Internal Revenue Service;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“JOBS Act” refers to the Jumpstart Our Business Startups Act of 2012;</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“KINS” refers to KINS Technology Group Inc., a Delaware corporation;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CXApp” refers to CXApp Holding Corp., a Delaware corporation, prior to the Merger;</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refers to the merger of Merger Sub with and into Legacy CXApp, with Legacy CXApp surviving the merger as a wholly-owned subsidiary of CXApp and the other transactions contemplated by the Merger Agreement;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refers to the Agreement and Plan of Merger, dated as of September 25, 2022, by and among KINS, Merger Sub, Inpixon and Legacy CXApp., as amended and modified from time to time;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refers to KINS Merger Sub Inc.;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refers to the Nasdaq Capital Market;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“Sarbanes-Oxley Act” refers to the Sarbanes-Oxley Act of 2002;</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refers to a series of transactions by Inpixon and certain of Inpixon’s subsidiaries as result of which Inpixon’s Enterprise Apps Business is held by Legacy CXApp and its subsidiaries and is separated from the remainder of Inpixon’s businesses, on the terms and subject to the conditions of the Separation and Distribution Agreement;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and Distribution Agreement” refers to the Separation and Distribution Agreement, dated as of September 25, 2022, by and among Inpixon, Design Reactor, Legacy CXApp and KINS, as amended and modified from time to time;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refers to KINS Capital, LLC, a Delaware limited liability company;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Support Agreement” refers to that certain Sponsor Support Agreement, dated as of September 25, 2022, by and among the Sponsor, KINS and Legacy CXApp, as amended and modified from time to time.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 refers to the Tax Matters Agreement, dated March 14, 2023, by and among KINS, Inpixon, and Legacy CXApp; and</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 refers to the Transition Services Agreement, dated March 14, 2023, by and between Inpixon and Legacy CXApp.</w:t>
      </w:r>
    </w:p>
    <w:p>
      <w:pPr>
        <w:spacing w:after="0" w:line="27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76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(this “Annual Report”) to “we,” “us,” “our,” the “Company”or “CXApp” are to CXApp Inc., a Delaware corporation, and its subsidiaries. References to our “management” or our “management team” refer to our officers and directors.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CXApp’s platform is a workplace experience platform for enterprise customers. Our technologies and solutions help enterprise customers deliver a comprehensive business journey in a work ‘from-anywhere’ world for employees, partners, customers and visitors. CXApp offers native mapping, analytics, on-device positioning (or ODP) and applications technologies that aim to bring people together.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customers use our enterprise solutions in a variety of ways, including, but not limited to, workplace experience, employee engagement, desk and meeting room reservations, workplace analytics, occupancy management, content delivery, corporate communications and notifications, event management, live indoor mapping, wayfinding and navigation.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enterprise application platform is the intersection of technology, intelligence, automation and experience for today’s hybrid workplace and the workplace of the future. The CXAI software-as-a-service (or SaaS) platform is anchored on the intersection of customer experience (CX) and artificial intelligence (AI) providing digital transformation for the physical workplace for enhanced experiences across people, places and things.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office, now, is everywhere. We believe that giving employees and teams the ability to manage different types of ‘office scenarios’ from their personal device will be the dominating path forward for a lot of companies.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Enterprise organizations are considering mobile applications imperative for the successful management of distributed workforces, and the changing office landscape. Over the next five years, we believe all large enterprise organizations will be using a mobile app to manage their workplace experience initiatives.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CXApp is uniquely positioned as the connection point of hybrid workplace models — bringing people together through a workplace experience app that helps companies build a more meaningful and productive work experience. We put key technologies, employee engagement initiatives, workplace automation and best practices into action with a comprehensive approach to the workplace — so employees and operations can make faster, reliable, data-driven decisions that influence performance and improve productivity.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our strategic growth model, we aim to connect every experience in the workplace with the CXApp platform no matter who you are, where you are, or what you’re doing.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CXApp workplace solution is a SaaS product for enterprise organizations, distributing a mobile app to all employees within the organization. It includes a content management system (or CMS) so customers can adjust configurations for their workplace settings autonomously and spontaneously. The CXApp platform offers a suite of leading-edge technology workplace experience solutions including an enterprise employee application, indoor mapping, on-device positioning, augmented reality technologies and an AI-based analytics platform, targeting the emerging hybrid workplace market to provide enhanced experiences across people, places, and things.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pricing structure consists of recurring software fees as well as a professional service fee to setup and deploy a new location or campus, including digitized maps and configurations at the global and regional level.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Technology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CXApp’s platform is a comprehensive workplace experience solution that introduced a mobile-first mindset to everyday interactions and business needs to help customers drive engagement across their global workforce. We bring workplace experience initiatives together in one simple and comprehensive system so customers don’t have to host, manage, support or maintain. We believe this results in low cost, low overhead and easy maintenance.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benefits of our technology platform include but are not limited to:</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built on a SaaS model.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updates, ongoing enhancements and maintenance are performed to ensure all customer apps are built with industry best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customer apps are hosted in an exclusive cloud instance for increased security and reliability.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customer has access to their own content management system compliance and authentication, built into the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iOS mobile app is natively built with the latest version Swift framework.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AndroidX mobile app is natively built with the latest version AndroidX framework.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data privacy protocols are compliant with the EU General Data Protection Regulation and have an ISO 27001 certification.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security clearances include SSL/TLS 1.2 for Google App Engine, AES256 bit Advanced Encryption and Google Cloud Key Store.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workplace experience solution is a software-as-a-service (or SaaS) platform for the enterprise. Our technology platform delivers the following core components that work in combination to deliver an incredible experience for companies around the world.</w:t>
      </w:r>
    </w:p>
    <w:p>
      <w:pPr>
        <w:spacing w:after="0" w:line="158" w:lineRule="exact"/>
        <w:rPr>
          <w:sz w:val="20"/>
          <w:szCs w:val="20"/>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Workplace Experience </w:t>
      </w:r>
      <w:r>
        <w:rPr>
          <w:rFonts w:ascii="Times New Roman" w:cs="Times New Roman" w:eastAsia="Times New Roman" w:hAnsi="Times New Roman"/>
          <w:sz w:val="18"/>
          <w:szCs w:val="18"/>
          <w:color w:val="auto"/>
        </w:rPr>
        <w:t>— Our workplace provides a more connected workplace by providing organizations with a holistic, location-aware,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customer-branded employee app that enhances employee experience. This solution allows for a frictionless work environment to employees, thus helping the organization, with features such as: hot desk and room booking, indoor navigation with turn-by-turn directions on a digital map, company-wide news feeds, an in-app company directory of colleagues and workplace amenities, as well as bookable opportunities and experiences. Our clients include facilities teams solving space utilization challenges, workplace operations teams building incredible experiences for employees and IT teams focused on streamlining their tech stacks to boost productivity and efficiency.</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Hybrid Events </w:t>
      </w:r>
      <w:r>
        <w:rPr>
          <w:rFonts w:ascii="Times New Roman" w:cs="Times New Roman" w:eastAsia="Times New Roman" w:hAnsi="Times New Roman"/>
          <w:sz w:val="18"/>
          <w:szCs w:val="18"/>
          <w:color w:val="auto"/>
        </w:rPr>
        <w:t>— Our hybrid event solution provides both mobile app and virtual event capabilities to connect tens of thousands of remote and in-person audiences through a fully branded, end-to-end event journey. Our hybrid event platform can host multiple events for enterprise organizations and provide support to ongoing event engagement touchpoints to attendees before, during, and after the event using features such as customizable agendas, real-time activity feeds, instant notifications and more.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Mapping Solutions </w:t>
      </w:r>
      <w:r>
        <w:rPr>
          <w:rFonts w:ascii="Times New Roman" w:cs="Times New Roman" w:eastAsia="Times New Roman" w:hAnsi="Times New Roman"/>
          <w:sz w:val="18"/>
          <w:szCs w:val="18"/>
          <w:color w:val="auto"/>
        </w:rPr>
        <w:t>— Our indoor mapping solution adds intelligence to complex indoor spaces to help enterprise organizations by integrating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data with geospatially accurate indoor maps to create relevant views of indoor environments. Indoor mapping is integral to supporting location-aware, “internet of things” (or IoT) enabled smart office touchpoints or devices within the customer’s premises. Developers use our mapping solution to bring indoor maps to apps, enabling multiple uses with a single set of maps. This product is intended to serve as a digital twin of a physical space facility and can be used for facility management, security, customer or worker experiences, asset tracking and more.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both"/>
        <w:ind w:left="6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Analytics Dashboard </w:t>
      </w:r>
      <w:r>
        <w:rPr>
          <w:rFonts w:ascii="Times New Roman" w:cs="Times New Roman" w:eastAsia="Times New Roman" w:hAnsi="Times New Roman"/>
          <w:sz w:val="18"/>
          <w:szCs w:val="18"/>
          <w:color w:val="auto"/>
        </w:rPr>
        <w:t>— Our robust cloud-based analytics dashboards give enterprise organizations insights into how real estate, technology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people interact across the workplace, so they can make business decisions to unlock savings, improve employee experience or optimize services. With our analytics platform, data from multiple sensors and data sources (third party sensors, native mapping solutions and data) can be visualized for action by workplace operations teams. The key output of our amazing AI applications is a data and analytics engine that fuses the user, space and things data to create what we are calling “Experience Analytics”. These are the key insights and outcomes that will drive the help solve the future of work problems.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On-Device Positioning (or ODP) </w:t>
      </w:r>
      <w:r>
        <w:rPr>
          <w:rFonts w:ascii="Times New Roman" w:cs="Times New Roman" w:eastAsia="Times New Roman" w:hAnsi="Times New Roman"/>
          <w:sz w:val="18"/>
          <w:szCs w:val="18"/>
          <w:color w:val="auto"/>
        </w:rPr>
        <w:t>— Our on-device positioning technology, commonly known as “blue dot”, enables powerful location-based uses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builds upon our mapping offering to give enterprises clients a seamless way to provide navigation assistance within a venue (workplace, event show floor etc.). Our solution displays a user’s precise location and runs on a smartphone, smartwatch or other IoT wearable device and can operate without the internet.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Roadmap and Enhancements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adapt and be relevant during the technological advancements within our industry is critical to our long-term success and growth. As a result, our executive management must continuously work to ensure that it remains informed and prepared to quickly adapt and leverage new technologies within our product and service offering as such technologies become available. In connection with that goal, we have multiyear product roadmap development plans which include activities related to expanding the use of augmented reality (or AR) and 3D mapping, new integrations with our partners to connect enterprise services to our app, changes to our desk booking solution to allow faster and more informed decision making by the user and improving our on-device positioning solutions and other initiatives described below.</w:t>
      </w:r>
    </w:p>
    <w:p>
      <w:pPr>
        <w:spacing w:after="0" w:line="183" w:lineRule="exact"/>
        <w:rPr>
          <w:sz w:val="20"/>
          <w:szCs w:val="20"/>
          <w:color w:val="auto"/>
        </w:rPr>
      </w:pPr>
    </w:p>
    <w:p>
      <w:pPr>
        <w:jc w:val="both"/>
        <w:ind w:left="66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Mapping and Digital Twin </w:t>
      </w:r>
      <w:r>
        <w:rPr>
          <w:rFonts w:ascii="Times New Roman" w:cs="Times New Roman" w:eastAsia="Times New Roman" w:hAnsi="Times New Roman"/>
          <w:sz w:val="18"/>
          <w:szCs w:val="18"/>
          <w:color w:val="auto"/>
        </w:rPr>
        <w:t>— Our advanced mapping platform is built with a set of developer tools to power an infinite number of experiences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multiple platforms. We are researching and evaluating ways in which laser imaging, detection, and ranging research and technology can aid map development and points of interest (or POI) location in a deployment. We believe leveraging our proprietary technology with Generative AI, we create interactive Digital 3D Twins of an organization’s indoor maps designed to meet the diverse needs of today’s workforce, whether they’re on-site, working remotely, or adopting a hybrid model. These enhancements to our mapping platform are part of a longer-term roadmap initiative which may require allocation of resources over the next 12-36 months. Initiatives over the next twelve months for these activities are anticipated to be focused on research and the development of a prototype.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Application Integrations </w:t>
      </w:r>
      <w:r>
        <w:rPr>
          <w:rFonts w:ascii="Times New Roman" w:cs="Times New Roman" w:eastAsia="Times New Roman" w:hAnsi="Times New Roman"/>
          <w:sz w:val="18"/>
          <w:szCs w:val="18"/>
          <w:color w:val="auto"/>
        </w:rPr>
        <w:t>— With the addition of our on-device positioning technology and the expanding usage of apps in the workplace,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particularly campus-style and large building environments, we are continuously evaluating ways to improve our app capabilities, including by enhancing our software development kits (or SDKs) and adding new functionality or features to support integration with workplace systems and tools. Our application programming interface (or API) and SDK integrations with customers that provide conferencing, collaboration, delivery, secure lockers, access control, parking and IoT management are key differentiators that we believe make our app the gateway for our customers. CXApp is a “category-maker” company that has developed the most engaging application for the hybrid workplace market - in reality, this is the Workplace SuperApp with over 150 native features and 100+ API integrations. We have several planned releases over the next 12 months in furtherance of these initiatives.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Analytics and Insights </w:t>
      </w:r>
      <w:r>
        <w:rPr>
          <w:rFonts w:ascii="Times New Roman" w:cs="Times New Roman" w:eastAsia="Times New Roman" w:hAnsi="Times New Roman"/>
          <w:sz w:val="18"/>
          <w:szCs w:val="18"/>
          <w:color w:val="auto"/>
        </w:rPr>
        <w:t>— We provide data science analytics in the cloud, along with specially optimized algorithms that are intended to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usability of the data we collect for our customers. We have released a beta version of our software with additional analytics capabilities. In the future, we would look to expand this offering, with the goal of allowing customers to export data to internal business intelligence systems and to upload additional datasets that might include security systems, or occupancy information. Our plan is for our system to deliver data reporting and visualizations to the user combining these data sources.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both"/>
        <w:ind w:left="660" w:hanging="328"/>
        <w:spacing w:after="0" w:line="25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Augmented Reality (or AR) and 3D </w:t>
      </w:r>
      <w:r>
        <w:rPr>
          <w:rFonts w:ascii="Times New Roman" w:cs="Times New Roman" w:eastAsia="Times New Roman" w:hAnsi="Times New Roman"/>
          <w:sz w:val="18"/>
          <w:szCs w:val="18"/>
          <w:color w:val="auto"/>
        </w:rPr>
        <w:t>— Our Artificial-Intelligence-based Augmented Reality solution provides seamless integration of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experiences with the real world and transforms the way users interact and engage with their environment. AR technologies may be used to both display and capture spatial data that can be overlaid with the rich, profile-based maps in our CMS. The use of AR technologies will help in connection with the application of visual asset tracking use cases without beacons, digital twin creation and applications for the metaverse or other applications. Our AR roadmap initiatives are anticipated to be implemented over the course of a multiyear plan.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that we will have sufficient funding for planned initiatives on our product roadmap over the next twelve months, however, we expect that additional funding may be required in connection with certain of the longer term, multi-year development initiatives on the roadmap.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Around 2009, we saw digital transformation initiatives begin to impact the corporate workplace, manifesting across components such as conference room signage, room booking, next-gen intranets, and transparent communications. Technology offered an easy way to begin to integrate these elements into the workplace.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Companies were slowly moving towards flexible work models, desk booking and sensor integrations. But timelines for digital workplace transformation were expedited during the pandemic. Since more people were ‘stuck at home’ during this timeframe, especially in the corporate sector, workplace tools emerged to satisfy niche uses.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more third-party platforms were introduced to the workplace ecosystem, data, information, and experiences became increasingly siloed. Now, mobile apps are proving to be the main connection point to plug into multiple platforms and bring every experience into one mobile command center. As the workplace and common workday interactions become more accessible and tied together through a single mobile app, we’re seeing efficiencies across workplace experience, boosts in productivity, reduced overhead, and increased insights into key workplace initiatives.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more tools and systems connect together, comprehensive workplace analytics will become crucial for job roles such as corporate real estate, facilities, and even human resources as they’ll be able to glean cross-platform, actionable insights that impact spaces, technology, and the people that use them.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move towards new versions of the workplace, post-pandemic, analysts and industry experts believe hybrid work will remain, but each company will be responsible for defining and managing their own protocols, expectations, and operating ratios. We see a fruitful opportunity where workplace technology apps are significantly growing as more companies adopt this technology to manage hybrid workplaces and bring distributed teams together.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observed that companies want employees back in the office 3-5 days a week, but employees need more engagement to bring them back in the post-pandemic environment. Pressing issues and considerations include disinterest in ‘the purpose’ of the office, uncertainty of colleague’s in-office status, a growing inequity of the hybrid work model, apprehension of densely occupied places, and overall disengagement from employees.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things real estate, operations, workplace experience, IT teams and cross-functional groups can do to set-up the workplace for success such as increasing communication, automating interactions, and having better insights into how space is being utilized. This means investment in IoT, mobility, and cloud solutions to keep the people and technology in the new workplace connected.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teams continue to re-enter the post-pandemic workplace in phases and at reduced capacities, we believe a mobile app is more relevant than ever, as a connection point for an increasingly distributed workforce. CXAI stands uniquely positioned to lead the category and shape the workplace experience landscape, given the ongoing digital transformation of nearly all enterprise organizations.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We believe trends that work in our favor include:</w:t>
      </w:r>
    </w:p>
    <w:p>
      <w:pPr>
        <w:spacing w:after="0" w:line="223" w:lineRule="exact"/>
        <w:rPr>
          <w:sz w:val="20"/>
          <w:szCs w:val="20"/>
          <w:color w:val="auto"/>
        </w:rPr>
      </w:pPr>
    </w:p>
    <w:p>
      <w:pPr>
        <w:jc w:val="both"/>
        <w:ind w:left="660" w:hanging="328"/>
        <w:spacing w:after="0" w:line="26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Heavy and Complex Tech Stacks. </w:t>
      </w:r>
      <w:r>
        <w:rPr>
          <w:rFonts w:ascii="Times New Roman" w:cs="Times New Roman" w:eastAsia="Times New Roman" w:hAnsi="Times New Roman"/>
          <w:sz w:val="18"/>
          <w:szCs w:val="18"/>
          <w:color w:val="auto"/>
        </w:rPr>
        <w:t>As more technologies come online to fulfill niche uses, the market becomes saturated, and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personnel may be overwhelmed with app overload, heavy and somewhat complex tech stacks, and increased expenses. Our one-app approach and open ecosystem uniquely positions CXApp as a one-stop shop for workplace experience, tying multiple uses together.</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Incomplete and Inaccurate Occupancies. </w:t>
      </w:r>
      <w:r>
        <w:rPr>
          <w:rFonts w:ascii="Times New Roman" w:cs="Times New Roman" w:eastAsia="Times New Roman" w:hAnsi="Times New Roman"/>
          <w:sz w:val="18"/>
          <w:szCs w:val="18"/>
          <w:color w:val="auto"/>
        </w:rPr>
        <w:t>With a hybrid model, desks are no longer a 1:1 ratio leading to confusion around who is sitting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when. With point-solutions, companies can wind up with ghost bookings, double-bookings, or gaps across core collaboration capabilities for teams. Our native desk booking and room reservation technology support advanced reservation, hotdesking or on-demand reservations, team insights, and integration with sensors to always provide the most accurate inventory.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Changing Spaces and Places. </w:t>
      </w:r>
      <w:r>
        <w:rPr>
          <w:rFonts w:ascii="Times New Roman" w:cs="Times New Roman" w:eastAsia="Times New Roman" w:hAnsi="Times New Roman"/>
          <w:sz w:val="18"/>
          <w:szCs w:val="18"/>
          <w:color w:val="auto"/>
        </w:rPr>
        <w:t>The average corporate campus encompasses dozens, if not hundreds, of points of interest — including workstations,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conference rooms, dining areas, lobbies, offices, fitness studios and collaboration zones. With a hybrid work setting, space has become more flexible, and some areas are no longer fixed points of interests. Spaces can easily be reconfigured to serve a better purpose if they’re being underutilized. There is no longer a ‘normal workday’ where employees show up to the same cube on the same floor and eat at the same café. We believe our mapping solution and blue dot capabilities make it easier for employees to navigate changing workplace environments and easily locate new desks, new spaces, and find people while on-the-go.</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new world of work is a combination of technologies shaped by physical, virtual, and augmented experiences that make up the how, when, where, and sometimes why we show up. Offices are now considered as innovation hubs and collaboration centers that attract and connect talent and inspire innovation. Our state-of-the-art technology platform is based on 37 filed patents, with 17 of them already granted. This substantial intellectual property not only establishes our company as a technological frontrunner but also secures our position as a pioneer in the industry.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successful organizations will turn to mobile apps to welcome employees back to the office, manage expectations, better support a hybrid work model, enable data-informed decisions, and deliver excellent experiences to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Size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 Market Research Report released in 2024, the digital workplace market size was valued at $27.4 billion in 2022, and is projected to grow from $33.7 billion in 2023 to $90.5 billion by 2030. Propelling the growth of the market is attributed to new tools and technologies being offered in the market, and employees’ desire for more flexibility in their work-life balance.</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its </w:t>
      </w:r>
      <w:r>
        <w:rPr>
          <w:rFonts w:ascii="Times New Roman" w:cs="Times New Roman" w:eastAsia="Times New Roman" w:hAnsi="Times New Roman"/>
          <w:sz w:val="18"/>
          <w:szCs w:val="18"/>
          <w:i w:val="1"/>
          <w:iCs w:val="1"/>
          <w:color w:val="auto"/>
        </w:rPr>
        <w:t>Global Virtual Events Market Size &amp; Share Report, 2030</w:t>
      </w:r>
      <w:r>
        <w:rPr>
          <w:rFonts w:ascii="Times New Roman" w:cs="Times New Roman" w:eastAsia="Times New Roman" w:hAnsi="Times New Roman"/>
          <w:sz w:val="18"/>
          <w:szCs w:val="18"/>
          <w:color w:val="auto"/>
        </w:rPr>
        <w:t>, the global virtual events market size was valued by Grand View Research at $114.12 billion in 2021 and is anticipated by Grand View Research to expand at a CAGR of 21.4% from 2022 to 2030. Grand View Research anticipates that the widespread use of collaboration and communication tools in various industries and industry verticals, including retail &amp; e-commerce, healthcare, manufacturing, construction, and education, among others, will boost the market growth during the forecast period.</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its Digital Workplace Market by Component, 2020 to 2026, the market size in 2020 was valued at $22.7 billion and is projected to grow to $72.2 billion by the end of 2026 at a compound annual growth rate of 21.3%. Enhancing employee experience through a simpler and more flexible work setup helps organizations attract new employees and retain experienced and expert workers. However, required higher education and lack of proper training are among the limitations to growth and innovation leading to the digital workplace.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occupancy analytics market in the commercial office space (for systems sales) was estimated by Memoori at $2.17 billion in 2019, and is expected by Memoori to rise to $5.73 billion by 2024, growing at a rate of 21.5% CAGR. We estimate that the workplace experience apps market is around 15% of this overall occupancy analytics market.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core workplace product’s inception in 2017, our go to market strategy was direct to customer focusing on the Fortune 3000 enterprise space. This has benefited us by acquiring customers from the Fortune 500 across financial services, media and software industries, allowing us to emerge in what we believe is a leadership role for enterprise companies looking for workplace technology.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established a technology partner program that we believe is strong and has served us well. As of today, we have more than 75 partners, including, but not limited to digital lockers, sensors and single sign-on (or SSO) platforms, which allows us to offer seamless integration and workflow for delivering a holistic employee experience application.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 of our future growth strategy includes, but is not limited to, the following strategic initiatives:</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grow our native development roadmap to align with market trends and new features to support companies and industries going through digital transformation and hybrid workforce models.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our existing direct sales team and expand into new verticals.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grow our foundational channel partner program to forge mutual relationship between other workplace technologies that want to become integrators and/or resellers.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robust sales and marketing roadmap to increase awareness and open channel opportunities, program opportunities and cross-marketing opportunities with existing industry associations and organizations to become thought leaders and trusted advisors in the work tech sector.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research and development (R&amp;D) activities have primarily been focused on enhancing our workplace app and mapping platform with additional features and capabilities to strengthen the total offering of our workplace solutions. In addition, we have allocated development resources to integrating our recently acquired technologies with our existing solutions, such as integrating our mapping and app platform, and incorporating “on device” positioning and analytics capabilities within our platform. Our management believes that we must continue to dedicate a significant number of resources to research and development efforts to maintain a competitive position in the market. Our products intersect many emerging fields including AI, the metaverse, augmented reality and space management, and we plan to continue to innovate and patent new methods to solve problems for our customers. While our R&amp;D expenses have historically exceeded our revenues, we anticipate R&amp;D expenses will grow at a slower rate than our revenue, however, we may need additional funding to support our planned R&amp;D activities after the next 12 months or if we decide to accelerate the time to availability for planned development activities to grow faster or meet customer demand. For more information see “</w:t>
      </w:r>
      <w:r>
        <w:rPr>
          <w:rFonts w:ascii="Times New Roman" w:cs="Times New Roman" w:eastAsia="Times New Roman" w:hAnsi="Times New Roman"/>
          <w:sz w:val="18"/>
          <w:szCs w:val="18"/>
          <w:i w:val="1"/>
          <w:iCs w:val="1"/>
          <w:color w:val="auto"/>
        </w:rPr>
        <w:t>Item 1. Business — Product Roadmap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Enhancements.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utilize direct sales and marketing through sales representatives, who are compensated with a base salary and, in certain instances, may participate in incentive plans such as commissions or bonuses. To generate demand for our products and services, we utilize account-based marketing initiatives, lead gen and demand gen programs, tradeshows, webinars and other direct and indirect marketing activities to reach our target audience. Additionally, we have dedicated resources to support and grow our business through strategic channel and technology partner opportunities.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products are primarily sold on a recurring SaaS license model along with one-time implementation costs (for professional services). The SaaS model is typically for a multi-year contract and includes maintenance upgrades. It is common for our customers to expand our products to additional locations as well as implement new features resulting in additional revenue potential.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a unified workplace where employees have on-demand access to real-time communications, collaboration and contextual experiences in one app — from employee to employee, building to building, campus to campus. Customers use the CXApp platform to streamline operations in a single mobile app platform to deliver the best possible experience to employees whether they are onsite, in-person and everywhere in between.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unique approach to workplace apps offers customers a feature-rich, white label experience allowing the in-app experience to reflect each customer’s distinct business goals and brand identity. We go beyond point-solutions, offering a robust product that serves multiple uses backed by native applications, technology partner integrations and workplace analytics that help employees and operations make data-informed decisions.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customers include Fortune 1000 enterprises primarily in the United States with deployments globally across industries, including, but not limited to software/technology, financial services, next-gen auto manufacturing, entertainment and life science companies. A list of customers is available on our website at www.cxapp.com.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Strengths, and Differentiation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our workplace experience app products we compete with companies such as Eptura, Modo Labs, HqO, Robin Powered and Comfy. For our mapping product, we compete with companies such as MappedIn, Mapwize and Esri. For our events product, we compete with companies such as Cvent, Double Dutch and Event Base.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we offer a unique and differentiated approach to the market with our workplace experience app that our competition is currently not positioned/not capable of servicing, as described below.</w:t>
      </w:r>
    </w:p>
    <w:p>
      <w:pPr>
        <w:spacing w:after="0" w:line="160" w:lineRule="exact"/>
        <w:rPr>
          <w:sz w:val="20"/>
          <w:szCs w:val="20"/>
          <w:color w:val="auto"/>
        </w:rPr>
      </w:pPr>
    </w:p>
    <w:p>
      <w:pPr>
        <w:jc w:val="both"/>
        <w:ind w:left="660" w:hanging="328"/>
        <w:spacing w:after="0" w:line="26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One App. </w:t>
      </w:r>
      <w:r>
        <w:rPr>
          <w:rFonts w:ascii="Times New Roman" w:cs="Times New Roman" w:eastAsia="Times New Roman" w:hAnsi="Times New Roman"/>
          <w:sz w:val="18"/>
          <w:szCs w:val="18"/>
          <w:color w:val="auto"/>
        </w:rPr>
        <w:t>We understand today’s workplace is a collection of spaces, people, activity-based work, virtual and physical interactions,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and the technology that binds them. CXApp has built a mobile command center through a single workplace app that helps enterprise companies build culture, foster innovation, empower employees, and create equitable experiences for a distributed workforce.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Delivering On Experience</w:t>
      </w:r>
      <w:r>
        <w:rPr>
          <w:rFonts w:ascii="Times New Roman" w:cs="Times New Roman" w:eastAsia="Times New Roman" w:hAnsi="Times New Roman"/>
          <w:sz w:val="18"/>
          <w:szCs w:val="18"/>
          <w:color w:val="auto"/>
        </w:rPr>
        <w:t>. The CXApp platform is the connection point for every employee across your workforce. We have built a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around workplace experience and help companies deliver that experience direct to employees to help attract and retain top talent, keep employees engaged and invested in company culture, and support them through a hybrid workforce model that is easy to navigate and easy to use.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Comprehensive Uses</w:t>
      </w:r>
      <w:r>
        <w:rPr>
          <w:rFonts w:ascii="Times New Roman" w:cs="Times New Roman" w:eastAsia="Times New Roman" w:hAnsi="Times New Roman"/>
          <w:sz w:val="18"/>
          <w:szCs w:val="18"/>
          <w:color w:val="auto"/>
        </w:rPr>
        <w:t>. The CXApp technology supports a multitude of uses for enterprise organization including, but not limited to, workplace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mapping, meeting room reservations, desk booking, campus directories, navigation, facility management, analytics and security, across numerous industries in both the private and public sector.</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Ecosystem</w:t>
      </w:r>
      <w:r>
        <w:rPr>
          <w:rFonts w:ascii="Times New Roman" w:cs="Times New Roman" w:eastAsia="Times New Roman" w:hAnsi="Times New Roman"/>
          <w:sz w:val="18"/>
          <w:szCs w:val="18"/>
          <w:color w:val="auto"/>
        </w:rPr>
        <w:t>. With a strong partner ecosystem and broad product integrations (Slack, Zoom, Office365, G-suite, Okta, ServiceNow,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others) our smart office app serves as the gateway to corporate communications and productivity portfolio. We have over 75 partner integrations and collaborative approach to creating a workplace ecosystem that helps customers streamline their technology stack and reduce app overload.</w:t>
      </w:r>
    </w:p>
    <w:p>
      <w:pPr>
        <w:spacing w:after="0" w:line="173"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Scalable Solution</w:t>
      </w:r>
      <w:r>
        <w:rPr>
          <w:rFonts w:ascii="Times New Roman" w:cs="Times New Roman" w:eastAsia="Times New Roman" w:hAnsi="Times New Roman"/>
          <w:sz w:val="18"/>
          <w:szCs w:val="18"/>
          <w:color w:val="auto"/>
        </w:rPr>
        <w:t>. We are built to support customers’ expanding needs and uses. Our solution allows for employee growth and can aid on-boarding and employee orientation. We make it easy to add campus locations around the globe as our clients expand their workforce.</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Technology-agnostic</w:t>
      </w:r>
      <w:r>
        <w:rPr>
          <w:rFonts w:ascii="Times New Roman" w:cs="Times New Roman" w:eastAsia="Times New Roman" w:hAnsi="Times New Roman"/>
          <w:sz w:val="18"/>
          <w:szCs w:val="18"/>
          <w:color w:val="auto"/>
        </w:rPr>
        <w:t>. We embrace an ecosystem of hardware, software, integration and distribution partners welcoming integration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synchronization with third-party data and systems in combination with our platform. Our open architecture is designed to enable the integration of disparate technologies, preserve investment and avoid obsolescence. APIs make it possible to move data in and out of our platform. Our SDKs enable developers to build new apps or to integrate location data into their existing mobile apps, websites or kiosks.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patents, trademarks, copyrights and trade secrets, including know-how, license agreements, confidentiality procedures, non-disclosure agreements with third parties, employee disclosure and invention assignment agreements and other contractual rights. We do not believe that our proprietary technology is dependent on any single patent or copyright or groups of related patents or copyrights. We believe the duration of our patents is adequate relative to the expected lives of our products. Our patent portfolio offers protections including detecting objects and positioning in a 3D environment, indoor navigation with sensor fusion, wireless signal fingerprinting, source-based anonymity and time synchronization methods.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terms of the Separation and Distribution Agreement, each of Inpixon and CXApp have granted the other party a limited worldwide, non-exclusive, irrevocable, royalty free, fully paid up, perpetual, non-exclusive license (the “Licensee”) to use, practice and otherwise exploit such intellectual property (with certain exceptions) that is owned, controlled or purported to be owned or controlled by the other party (the “Licensor”) to the extent used, practiced or otherwise exploited in the business of the Licensee during the twelve (12) months prior to the Distribution Time or is reasonably anticipated to be used after the Distribution Time based on the written business or product plans existing as of the Distribution Time, solely for the conduct of any business of the Licensee as conducted on or prior to the Distribution Time and reasonably anticipated extension or evolutions thereof that are not substitutes for any product or service of the Licensor as of the Distribution Time.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this time, and notwithstanding the license granted under the Separation and Distribution Agreement, we do not anticipate that any of our products and technologies will require reliance on any intellectual property retained by Inpixon.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we are subject to numerous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general, we are subject to various federal, state, local and foreign laws and regulations and related enforcement, including those relating to data privacy, security and protection, intellectual property, employment and labor, anti-bribery, import and export controls, federal securities and tax. Additional laws and regulations relating to these areas likely will be passed in the future, and these or existing laws and regulations may be interpreted or enforced in new or expanded manners, each of which could result in significant limitations on ways we operate our business. New and evolving laws and regulations, and changes in their enforcement and interpretation, may require changes to our products and services, or to our business practices and relationships generally, and may significantly increase our compliance costs and otherwise adversely affect our business and results of operations. As our business expands to include additional products and services, and our operations continue to expand internationally, our compliance requirements and costs may increase, and we may be subject to increased regulatory scrutiny.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 To date, compliance with these regulations has not been financially burdensome.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May 15, 2024, there are 46 employees, including 4 management personnel, 9 technical R&amp;D personnel, 4 sales personnel, 26 customer success and sustaining engineering personnel, 1 legal personnel, 1 human resources personnel and 1 information technology personnel. We also have technical consulting resources in the range of 25-35 FTE supporting our customer engagements.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CXApp Inc. was incorporated in Delaware on July 20, 2020 as KINS Technology Group Inc, our predecessor. The Company was formed for the purpose of effecting a merger, capital stock exchange, asset acquisition, stock purchase, reorganization or similar business combination with one or more businesses (the “Business Combination”). The Company was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became effective on December 14, 2020. On December 17, 2020, the Company consummated the Initial Public Offering of 27,600,000 units (the “Units” and, with respect to the Class A common stock included in the Units sold, the “Public Shares”), which includes the full exercise by the underwriter of its over-allotment option in the amount of 3,600,000 Units, at $10.00 per Unit, generating gross proceeds of $276,000,000. Simultaneously with the closing of the Initial Public Offering, the Company consummated the sale of 10,280,000 warrants (the “Private Placement Warrants”) at a price of $1.00 per Private Placement Warrant in a private placement to KINS Capital LLC (the “Sponsor”) and certain funds and accounts managed by BlackRock, Inc. (the “Direct Anchor Investors” and which the Direct Anchor Investors, together with the Sponsor, are the “initial stockholders”).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one wholly-owned subsidiary, KINS Merger Sub Inc., which was incorporated in the State of Delaware on September 16, 2022 (“Merger Sub”). Merger Sub had no activity from date of incorporation, September 16, 2022 through March 14,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end of business on March 14, 2023, pursuant to the Merger Agreement, a business combination between KINS and Legacy CXApp was effectuated through the merger of Merger Sub with and into Legacy CXApp, with Legacy CXApp surviving as the surviving company and as a wholly owned subsidiary of KINS. KINS subsequently changed its name to CXApp, and shares of CXApp Class A common stock began trading on the Nasdaq on March 15, 2023.</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Legacy CXApp was incorporated under the laws of the State of Delaware on September 19, 2022, specifically for the purpose of effecting the Separation and was a wholly-owned subsidiary of Inpixon. Legacy CXApp has not carried on any activities to date, except for activities incidental to its formation and activities undertaken in connection with the transactions. Pursuant to the Separation and Distribution Agreement, (i) Inpixon undertook a series of internal reorganization and restructuring transactions to effect the transfer of its (direct or indirect) ownership of the Enterprise Apps Business to Legacy CXApp in the Separation and (ii) immediately prior to the Merger and after the Separation, Inpixon distributed 100% of the outstanding shares of CXApp common stock to Inpixon securityholders in the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four operating subsidiaries: (i) Legacy CXApp, a Delaware corporation, 100% of the capital stock of which is owned by CXApp, (ii) CXApp US, Inc. (formerly as Design Reactor Inc.), a California corporation (“CXApp US”), 100% of the capital stock of which is owned by Legacy CXApp; (iii) CXApp Canada, Inc.(formerly as Inpixon Canada), a British Columbia corporation, based in Coquitlam, British Columbia (“CXApp Canada”), 100% of the capital stock of which is owned by CXApp US; and (iv) CXApp Philippines, Inc. (formerly as Inpixon Philippines, Inc.), a Philippines corporation (“CXApp Philippines”), 99.97% of the capital stock of which is owned by CXApp 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Four Palo Alto Square, Suite 200, 3000 El Camino Real, Palo Alto, CA 94306. Our Canadian subsidiary maintains offices in Toronto, Ontario and our Philippines subsidiary maintains offices in Manila, Philippines. Our Internet website is www.cxapp.com. The information on, or that can be accessed through, our website is not part of this report, and you should not rely on any such information in making any investment decision relating to our common stock.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the following risks have the potential to impact the business and operations of CXApp. An investment in our securities involves a high degree of risk. You should carefully consider all of the risks described in this Annual Report, together with the other information contained in this Annual Report. These risk factors are not exhaustive and all investors are encouraged to perform their own investigation with respect to the business, financial condition and prospects of CXApp. The occurrence of any of the following risks or additional risks and uncertainties not presently known to us or that we currently believe are immaterial could have a material adverse effect on our business, financial condition, results of operations and future growth prospects. In that event, the trading price of our securities could decline, and you could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there is no assurance that we will ever be able to earn sufficient revenue to achieve profitability or raise additional financing to successfully operate our business plan.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history of operating losses and may not earn sufficient revenue to support our operations. We have incurred recurring net losses of approximately $53,618 thousand and $29,175 thousand for the fiscal years ended 2023 and 2022, respectively. Our continuation is dependent upon attaining and maintaining profitable operations and raising additional capital as needed, but there can be no assurance that we will be able to raise any further financing.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generate positive cash flow from operations is dependent on implementing certain cost reductions and generating sufficient revenues. Our operations have primarily been funded by our previous parent company with proceeds from public and private offerings of capital stock and secured and unsecured debt instruments. Based on our current business plan, we may need additional capital to support our operations, which may be satisfied by additional debt or equity financings. Future financings through equity offerings will be dilutive to existing stockholders. In addition, the terms of securities we may issue in future capital transactions may be more favorable to new investors than our current investors. Newly issued securities may include preferences, superior voting rights, and the issuance of warrants or other derivative securities. We may also issue incentive awards under our equity incentive plans, which may have additional dilutive effects. We may also be required to recognize non-cash expenses in connection with certain securities we may issue in the future such as convertible notes and warrants, which would adversely impact our financial condition and results of operations. Our ability to obtain needed financing may be impaired by factors, including the condition of the economy and capital markets, both generally and specifically in our industry, and the fact that we are not profitable, which could affect the availability or cost of future financing. If the amount of capital we are able to raise from financing activities, together with our revenues from operations, is not sufficient to satisfy our capital needs, we may need to reduce our operations by, for example, selling certain assets or business segments.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or protect growth may be detrimental to our business because our infrastructure may not be adequate for expansion.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corporate strategy contemplates potential future acquisitions and to the extent we acquire other businesses, we will also need to integrate and assimilate new operations, technologies and personnel. The integration of new personnel will continue to result in some disruption to ongoing operations. The ability to effectively manage growth in a rapidly evolving market requires effective planning and management processes. We will need to continue to improve operational, financial, and managerial controls, reporting systems and procedures, and will need to continue to expand, train and manage our workforce. There can be no assurance that we would be able to accomplish such an expansion on a timely basis. If we are unable to effect any required expansion and are unable to perform our contracts on a timely and satisfactory basis, our reputation and eligibility to secure additional contracts in the future could be damaged. The failure to perform could also result in contract terminations and significant liability. Any such result would adversely affect our business and financial condition.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Insurance and contractual protections may not always cover lost revenue, increased expenses, or liquidated damages payments, which could adversely affect our financial results.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maintain insurance and intend to obtain warranties from suppliers, obligate subcontractors to meet certain performance levels and attempt, where feasible, to pass risks we cannot control to our customers, the proceeds of such insurance or the warranties, performance guarantees or risk sharing arrangements may not be adequate to cover lost revenue, increased expenses or liquidated damages payments that may be required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judgments or settlements in legal proceedings could materially harm our business, financial condition, operating results, and cash flows.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be a party to claims that arise from time to time in the ordinary course of our business, which may include those related to, for example, contracts, sub-contracts, protection of confidential information or trade secrets, adversary proceedings arising from customer bankruptcies, employment of our workforce and immigration requirements or compliance with any of a wide array of state and federal statutes, rules and regulations that pertain to different aspects of our business. We may also be required to initiate expensive litigation or other proceedings to protect our business interests. There is a risk that we will not be successful or otherwise be able to satisfactorily resolve any such claims or litigation. In addition, litigation and other legal claims are subject to inherent uncertainties. Those uncertainties include, but are not limited to, litigation costs and attorneys’ fees, unpredictable judicial or jury decisions and the differing laws and judicial proclivities regarding damage awards among the states in which we operate. Unexpected outcomes in such legal proceedings, or changes in management’s evaluation or predictions of the likely outcomes of such proceedings (possibly resulting in changes in established reserves), could have a material adverse effect on our business, financial condition, results of operations and cash flows. Due to recurring losses and net capital deficiency, our current financial status may increase our default and litigation risks and may make us more financially vulnerable in the face of threatened litigation.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acquisitions that we may make could disrupt our business, cause dilution to our stockholders and harm our business, financial condition or operating results.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successful in consummating acquisitions, those acquisitions could subject us to a number of risks, including, but not limited to:</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we pay and/or unanticipated costs could significantly deplete our cash reserves or result in dilution to our existing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that the acquired company or technologies do not improve our market position as planned;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the operations and personnel of the acquired company, as the combined operations will place significant demands on our management, technical, financial and other resources;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and customers of the acquired company may terminate their relationships with the acquired company as a result of the acquisition;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additional financial and accounting challenges and complexities in areas such as tax planning and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or be held liable for risks and liabilities (including environmental-related costs) as a result of our acquisitions, some of which we may not be able to discover during our due diligence investigation or adequately adjust for in our acquisition arrangements;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and management’s attention may be disrupted or diverted by transition or integration issues and the complexity of managing geographically or culturally diverse enterprises;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one-time write-offs or restructuring charges in connection with the acquisition;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goodwill and other intangible assets that are subject to amortization or impairment tests, which could result in future charges to earnings;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cost savings or other financial benefits we anticipated.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following any acquisition, our continued business will achieve sales levels, profitability, efficiencies or synergies that justify the acquisition or that the acquisition will result in increased earnings for us in any future period. These factors could have a material adverse effect on our business, financial condition and operating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is dependent on increasing sales to our existing customers and obtaining new customers, which, if unsuccessful, could limit our financial performance.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increase revenues from existing customers by identifying additional opportunities to sell more of our products and services and our ability to obtain new customers depends on a number of factors, including our ability to offer high quality products and services at competitive prices, the strength of our competitors and the capabilities of our sales and marketing departments. If we are not able to continue to increase sales of our products and services to existing customers or to obtain new customers in the future, we may not be able to increase our revenues and could suffer a decrease in revenues as well.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sell additional products and services to our customers and increase our overall customer base, our future revenue and operating results may suffer.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our ability to expand the deployment of technologies with existing customers and finding new customers to sell our products and services to. This may require increasingly sophisticated and costly sales efforts and may not result in additional sales. In addition, the rate at which our customers purchase additional products and services, and our ability to attract new customers, depends on a number of factors, including the perceived need for indoor mapping products and services, as well as general economic conditions. If our efforts to sell additional products and services are not successful, our business may suffer.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cash financing and any failure to obtain cash financing, could limit our ability to grow our business and develop or enhance our service offerings to respond to market demand or competitive challenges.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believe that we have sufficient cash funds to satisfy our working capital needs for the next 12 months, we expect that we may need to raise funds to continue our operations and implement our plans to grow our business. However, if we decide to seek additional capital, we may be unable to obtain financing on terms that are acceptable to us or at all. If we are unable to raise the required cash, our ability to grow our business and develop or enhance our service offerings to respond to market demand or competitive challenges could be limited.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depends on our ability to successfully obtain payment from our customers of the amounts they owe us for products received from us and any work performed by us. The timely collection of our receivables allows us to generate cash flow, provide working capital and continue our business operations. Our customers may fail to pay or delay the payment of invoices for several reasons, including financial difficulties resulting from macroeconomic conditions or lack of an approved budget. An extended delay or default in payment relating to a significant account will have a material and adverse effect on the aging schedule and turnover days of our accounts receivable. If we are unable to timely collect our receivables from our customers for any reason, our business and financial condition could be adversely affected.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errors, or vulnerabilities in our products or services or the failure of such products or services to prevent a security breach, could harm our reputation and adversely affect our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our location-based security products and services are complex, they have contained and may contain design or manufacturing defects or errors that are not detected until after their commercial release and deployment by customers. Defects may cause such products to be vulnerable to advanced persistent threats (“APTs”) or security attacks, cause them to fail to help secure information or temporarily interrupt customers’ networking traffic. Because the techniques used by hackers to access sensitive information change frequently and generally are not recognized until launched against a target, we may be unable to anticipate these techniques and provide a solution in time to protect customers’ data. In addition, defects or errors in our subscription updates or products could result in a failure to effectively update customers’ hardware products and thereby leave customers vulnerable to APTs or security attacks.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defects, errors or vulnerabilities in our products could result in:</w:t>
      </w:r>
    </w:p>
    <w:p>
      <w:pPr>
        <w:spacing w:after="0" w:line="225"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significant financial and product development resources in efforts to analyze, correct, eliminate, or work-around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or potential customers or partners;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claims compared with historical experience, or increased cost of servicing warranty claims, either of which would adversely affect gross margins;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inquiries, or investigations that may be costly and harm our reputation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research and development efforts may not produce successful products or features that result in significant revenue, cost savings or other benefits in the near future. If we do not realize significant revenue from our research and development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Developing products and related enhancements in our field is expensive. Investments in research and development may not result in significant design improvements, marketable products or features or may result in products that are more expensive than anticipated. We may not achieve the cost savings or the anticipated performance improvements expected, and we may take longer to generate revenue from products in development or generate less revenue than expected.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future plans include significant investments in research and development and related product opportunities. Our management believes that we must continue to dedicate a significant amount of resources to research and development efforts to maintain a competitive position. However, we may not receive significant revenue from these investments in the near future, or these investments may not yield the expected benefits, either of which could adversely affect our business and operating results.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increase the size of our organization, and we may experience difficulties in managing growth, which could hurt our financial performance.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manage our future growth, we will need to continue to improve our management, operational and financial controls and our reporting systems and procedures. All of these measures will require significant expenditures and will demand the attention of management. If we do not continue to enhance our management personnel and our operational and financial systems and controls in response to growth in our business, we could experience operating inefficiencies that could impair our competitive position and could increase our costs more than we had planned. If we are unable to manage growth effectively, our business, financial condition and operating results could be adversely affected.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Relating to our Personnel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experienced and skilled personnel, and if we are unable to attract and integrate skilled personnel, it will be more difficult for us to manage our business and complete contracts.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on the skill of our personnel. Accordingly, it is critical that we maintain, and continue to build, a highly experienced management team and specialized workforce, including those who create software programs and sales professionals. Competition for personnel with skill sets specific to our industry is high, and identifying candidates with the appropriate qualifications can be costly and difficult. We may not be able to hire the necessary personnel to implement our business strategy given our anticipated hiring needs, or we may need to provide higher compensation or more training to our personnel than we currently anticipate.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labor intensive, and our success depends on our ability to attract, retain, train and motivate highly skilled employees, including employees who may become part of our organization in connection with our acquisitions. The increase in demand for consulting, technology integration and managed services has further increased the need for employees with specialized skills or significant experience in these areas. Our ability to expand our operations will be highly dependent on our ability to attract a sufficient number of highly skilled employees and to retain our employees and the employees of companies that we have acquired. We may not be successful in attracting and retaining enough employees to achieve our desired expansion or staffing plans. Furthermore, the industry turnover rates for these types of employees are high and we may not be successful in retaining, training or motivating our employees. Any inability to attract, retain, train and motivate employees could impair our ability to adequately manage and complete existing projects and to accept new customer engagements. Such inability may also force us to increase our hiring of independent contractors, which may increase our costs and reduce our profitability on customer engagements. We must also devote substantial managerial and financial resources to monitoring and managing our workforce. Our future success will depend on our ability to manage the levels and related costs of our workforce.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we are unable to attract, hire and retain the requisite personnel and subcontractors, we may experience delays in completing contracts in accordance with project schedules and budgets, which may have an adverse effect on our financial results, harm our reputation and cause us to curtail our pursuit of new contracts. Further, any increase in demand for personnel may result in higher costs, causing us to exceed the budget on a contract, which in turn may have an adverse effect on our business, financial condition and operating results and harm our relationships with our customers.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subject to claims that we and our employees may have inadvertently or otherwise used or disclosed trade secrets or other proprietary information of former employers or competitors. Litigation may be necessary to defend against these claims. We may be subject to unexpected claims of infringement of third-party intellectual property rights, either for intellectual property rights of which we are not aware, or for which we believe are invalid or narrower in scope than the accusing party. Even if we are successful in defending against these claims, litigation could result in substantial costs and be a distraction to management. If we fail in defending such claims, in addition to paying money claims, we may lose valuable intellectual property rights or personnel or be enjoined from selling certain products or providing certain services. A loss of key research personnel or their work product could hamper or prevent our ability to commercialize certain products, which could severely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may adversely affect our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to a significant extent upon the operation, experience, and continued services of certain of our officers, and other key personnel. While our key personnel are employed under employment contracts, there is no assurance we will be able to retain their services. The loss of our key personnel could have an adverse effect on us. If certain of our executive officers were to leave we would face substantial difficulty in hiring a qualified successor and could experience a loss in productivity while any successor obtains the necessary training and experience. Furthermore, we do not maintain “key person” life insurance on the lives of any executive officer and their death or incapacity would have a material adverse effect on us. The competition for qualified personnel is intense, and the loss of services of certain key personnel could adversely affect our business.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protect our intellectual property rights, we may experience a loss of revenue and our operations and growth prospects may be materially harmed.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not registered copyrights on any of the software we have developed, and while we may register copyrights in the software if needed before bringing suit for copyright infringement, such registration can introduce delays before suit of over three years and can constrain damages for infringement. We rely upon confidentiality agreements signed by our employees, consultants and third parties to protect our intellectual property. We cannot assure you that we can adequately protect our intellectual property or successfully prosecute actual or potential infringement of our intellectual property rights. In addition, we cannot assure you that others will not assert rights in, or ownership of, trademarks and other proprietary rights of ours or that we will be able to successfully resolve these types of conflicts to our satisfaction. Our failure to protect our intellectual property rights may result in a loss of revenue and could materially adversely affect our operations and financial condition.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any patents issued in the future may not provide us with any competitive advantages, and our patent applications may never be granted. The process of obtaining patent protection is expensive and time-consuming, and we may not be able to prosecute all necessary or desirable patent applications at a reasonable cost or in a timely manner. Even if issued, there can be no assurance that these patents will adequately protect our intellectual property, as the legal standards relating to the validity, enforceability and scope of protection of patent and other intellectual property rights are complex and often uncertain and are subject to change that can affect validity of patents issued under previous legal standards, particularly with respect to the law of subject matter eligibility. Our inability to protect our property rights could adversely affect our financial condition, operating results and growth prospects.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proprietary software is protected by common law copyright laws, as opposed to registration under copyright statutes. We have not registered copyrights on any of the proprietary software we have developed. Our performance and ability to compete are dependent to a significant degree on our proprietary technology. Common law protection may be narrower than that which we could obtain under registered copyrights. As a result, we may experience difficulty in enforcing our copyrights against certain third party infringements. As part of our confidentiality-protection procedures, we generally enter into agreements with our employees and consultants and limit access to, and distribution of, our software, documentation and other proprietary information. There can be no assurance that the steps we have taken will prevent misappropriation of our technology or that agreements entered into for that purpose will be enforceable. The laws of other countries may afford us little or no protection of our intellectual property. We also rely on a variety of technology that we license from third parties. There can be no assurance that these third party technology licenses will continue to be available to us on commercially reasonable terms, if at all. The loss of or inability to maintain or obtain upgrades to any of these technology licenses could result in delays in completing software enhancements and new development until equivalent technology could be identified, licensed or developed and integrated. Any such delays would materially and adversely affect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 in protecting our proprietary software technology and if we fail to protect our technology, we could incur material harm to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principally on a combination of contract provisions and copyright, trademark, patent and trade secret laws to protect our proprietary technology. Despite our efforts to protect our proprietary rights, unauthorized parties may attempt to copy aspects of our products or to obtain and use information that we regard as proprietary. Policing unauthorized use of our products is difficult. Litigation may be necessary in the future to enforce our intellectual property rights, to protect our trade secrets or to determine the validity and scope of the proprietary rights of others. This litigation could result in substantial costs and diversion of resources, whether or not we ultimately prevail on the merits. The steps we take to protect our proprietary rights may be inadequate to prevent misappropriation of our technology; moreover, others could independently develop similar technology.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claims that we infringe intellectual property rights of others, which could harm our business, financial condition, results of operations or cash flows.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Third parties could assert infringement claims in the future with respect to our products and technology, and such claims might be successful. Litigation relating to any such claims could result in substantial costs and diversion of resources, whether or not we ultimately prevail on the merits. Any such litigation could also result in our being prohibited from selling one or more of our products, unanticipated royalty payments, reluctance by potential customers to purchase our products, or liability to our customers and could have a material adverse effect on our business, financial condition, operating results and cash flows.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cause the value of your investment to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as well as our warrants, is likely to be volatile. The stock market has experienced extreme volatility in the past and may experience similar volatility moving forward. This volatility often has been unrelated or disproportionate to the operating performance of particular companies. You may not be able to resell your shares at an attractive price due to a number of factors including the following:</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market prices of stocks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enterprises perceive the benefits of our platform and products;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solutions or technologies or significant contracts, acquisitions, joint ventures, other strategic relationships or capital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 including new laws or regulations or new interpretations of existing laws or regulations applicable to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or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or activist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trade wars, pandemics (such as COVID19), currency fluctuations and acts of war or terrorism;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disasters, terrorist attacks and the spread and/or abatement of infectious diseases, such as COVID-19, including with respect to potential operational disruptions, labor disruptions, increased costs, and impacts to demand related thereto.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for as long as we continue to be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this Annual Report and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cease to be an emerging growth company, we will no longer be able to take advantage of certain exemptions from reporting, and, absent other exemptions or relief available from the SEC, we will also be required to comply with the auditor attestation requirements of Section 404 of the Sarbanes-Oxley Act. We will incur additional expenses in connection with such compliance and our management will need to devote additional time and effort to implement and comply with such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substantially limited to the value of our common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 current plans to pay any cash dividends on our common stock. The declaration, amount and payment of any future dividends on shares of our common stock will be at the sole discretion of our board. We currently anticipate that we will retain future earnings for the development, operation and expansion of our business and do not anticipate declaring or paying any cash dividends from future earnings for the foreseeable future. Our board may take into account general and economic conditions, our financial condition and results of operations, our available cash and current and anticipated cash needs, capital requirements, contractual, legal, tax, and regulatory restrictions, implications on our or our subsidiaries’ payment of dividends to our stockholders and such other factors as our board may deem relevant. In addition, our ability to pay dividends is limited by our indebtedness and may be limited by covenants of any future indebtedness we incur. As a result, you may not receive any return on an investment in our common stock unless you sell our common stock for a price greater than that which you paid for it.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inaccurate or unfavorable research about our common stock, the stock price and trading volume of our common stock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In addition, some financial analysts may have limited expertise with our model and operations. Furthermore, if one or more of the analysts who do cover us downgrade their evaluations of our common stock, the price of our common stock could decline. If one or more of these analysts ceases to cover us, we could lose visibility in the market for our common stock, which in turn could cause our stock price or trading volume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sales or offerings of our common stock may cause substantial dilution to stockholders and could cause the price of our common stock to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Insider Letter (as defined in the Sponsor Support Agreement), during the Founder Shares Lock-Up Period (as defined in the Insider Letter), KINS’ directors and executive officers will not, subject to the exceptions noted therein, sell, transfer, assign, pledge, encumber, hypothecate or similarly dispose of any shares of our common stock, or any stock options, restricted stock units, or other equity awards outstanding as of immediately following the Closing in respect of our awards outstanding immediately following the Closing. Following the expiration or waiver of the Lockup Period, such shares will be eligible for resale, subject to volume, manner of sale and other limitations under Rule 144. Sales of substantial amounts of our common stock in the public market, or the perception that such sales will occur, could adversely affect the market price of our common stock and make it difficult for us to raise funds through securities offerings in the future.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stockholders to the Registration Rights Agreement, dated as of December 14, 2020, that was entered into by KINS, the Sponsor and the other parties thereto in connection with the KINS initial public offering exercise their registration rights, the market price of shares of our common stock could drop significantly if the holders of these shares sell them or are perceived by the market as intending to sell them. These factors could also make it more difficult for us to raise additional funds through future offerings of our common stock or other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shares of our common stock reserved for future issuance under our equity incentive plans will become eligible for sale in the public market once those shares are issued, subject to provisions relating to various vesting agreements and, in some cases, limitations on volume and manner of sale applicable to affiliates under Rule 144, as applicable.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amount of shares of our common stock issued in connection with an investment or acquisition could constitute a material portion of our common stock. Any issuance of additional securities in connection with investments or acquisitions may result in additional dilution to our stockholders.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sustained depression in the market price of our common stock has happened (from October to December 2023) and could in the future happen, which could also reduce our market capitalization below the book value of net assets, which could increase the likelihood of recognizing goodwill or indefinite-lived intangible asset impairment losses that could negatively affect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provisions of our Charter and Bylaws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225" w:lineRule="exact"/>
        <w:rPr>
          <w:sz w:val="20"/>
          <w:szCs w:val="20"/>
          <w:color w:val="auto"/>
        </w:rPr>
      </w:pPr>
    </w:p>
    <w:p>
      <w:pPr>
        <w:ind w:left="5540" w:right="4820" w:hanging="5208"/>
        <w:spacing w:after="0" w:line="657" w:lineRule="auto"/>
        <w:tabs>
          <w:tab w:leader="none" w:pos="6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whose members serve staggered three-year terms;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our annual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act by written consent;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is expressly authorized to make, alter or repeal our bylaws;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holders of the majority of the voting power of all of the then outstanding shares of our voting stock entitled to vote at an election of directors.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Charter provides that, subject to limited exceptions, any (1) derivative action, suit or proceeding brought on behalf of us, (2) action, suit or proceeding asserting a claim of breach of a fiduciary duty owed by any of our director, officer or stockholder to us or our stockholders, (3) action, suit or proceeding arising pursuant to any provision of the DGCL or the Charter or the Bylaws (as either may be amended from time to time), (4) any action, suit or proceeding as to which the DGCL confers jurisdiction on the Court of Chancery of the State of Delaware or (5) action, suit or proceeding asserting a claim against us or any current or former director, officer or stockholder governed by the internal affairs doctrine of the State of Delaware shall, to the fullest extent permitted by applicable law, be exclusively brought in the Court of Chancery of the State of Delaware or, if such court lacks subject matter jurisdiction thereof, another state or federal court located within the State of Delaware; provided that, (i)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(ii) such exclusive forum provision shall not apply to claims or causes of action brought to enforce any liability or duty created by the Exchange Act or any other claim for which the federal courts of the United States have exclusive jurisdiction. Any person or entity purchasing or otherwise acquiring any interest in shares of our capital stock shall be deemed to have notice of and to consent to the provisions of the Charter.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the Charter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and the Nasdaq, require significant resources, increase our costs and distract our management, and we may be unable to comply with these requirements in a timely or cost-effective manner. We will incur increased costs as a result of operating as a public company, and our management will devote substantial time to new compliance initiatives.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Legacy CXApp has previously operated as a privately owned company and expects to incur additional legal, regulatory, finance, accounting, investor relations and other administrative expenses as a result of having publicly traded common stock. In addition, we will be required under the Sarbanes-Oxley Act, as well as rules adopted by the SEC and Nasdaq to implement specified corporate governance practices that previously did not apply to Legacy CXApp as a private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with equity securities listed on Nasdaq, we will need to comply with rules and regulations of the SEC and the requirements of Nasdaq. Complying with these rules, regulations and requirements will occupy a significant amount of the time of our board of directors and management and will significantly increase our costs and expenses. Furthermore, any issues in complying with those requirements, including for example, the management’s identification of material weaknesses in the Company’s internal control over financial reporting and subsequent conclusion that the Company did not maintain effective internal control over financial reporting as of December 31, 2023, could cause us to incur additional costs rectifying those issues, and the existence of those issues could adversely affect our reputation or investor perceptions of it. Refer to Item 9A. Controls and Procedures of this Report for further information. In addition, as a public company we will incur substantial costs to obtain director and officer liability insurance policies. These factors could make it more difficult for us to attract and retain qualified members of our board of directors, particularly to serve on our audit committee.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be required to ensure that we have the ability to prepare financial statements on a timely basis that fully comply with all SEC reporting requirements and maintain effective internal controls over financial reporting. The additional demands associated with being a public company may disrupt regular operations of our business by diverting the attention of some of our senior management team away from revenue producing activities to management and administrative oversight, adversely affecting our ability to attract and complete business opportunities and increasing the difficulty in both retaining professionals and managing and growing our businesses. In addition, failure to comply with any laws or regulations applicable to us as a public company may result in legal proceedings and/or regulatory investigations, and may cause reputational damage. Any of these effects could harm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continued listing standards of Nasdaq, our common stock may be delisted, which could have a material adverse effect on the liquidity and market price of our common stock and expose the Company to litigation.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The Nasdaq Stock Market LLC (“Nasdaq”) has requirements that a company must meet in order to remain listed. On April 18, 2024, the Company received a notice (the “Notice”) from Nasdaq notifying the Company that, because the Company is delinquent in filing its 2023 Form 10-K, the Company no longer complies with Nasdaq Listing Rule 5250(c)(1) (the “Listing Rule”), which requires companies with securities listed on Nasdaq to timely file all required periodic reports with the SEC.</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Nasdaq’s listing rules, the Company has 60 calendar days after the Notice to submit a plan of compliance (the “Plan”) to Nasdaq addressing how the Company intends to regain compliance with Nasdaq’s listing rules, and Nasdaq has the discretion to grant the Company up to 180 calendar days from the due date of the 2023 Form 10-K, or October 14, 2024, to regain compliance. The Company intends to submit the Plan and take the necessary steps to regain compliance with Nasdaq’s listing rules as soon as practicable.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this time, our common stock will continue to be listed on the Nasdaq, subject to our compliance with other Nasdaq continued listing requirements. If our common stock were to be delisted, the liquidity of our common stock would be adversely affected and the market price of our common stock could decrease. In addition, the delinquent report could expose the Company to risk of litigation concerning any impact upon the Company’s price of the Company’s common stock. Any such litigation could distract management from day-to-day operations and further adversely affect the market price of our common stock.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Risks Relating to our Accounting Policies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and guidance, or their interpretation or implementation, may materially adversely affect our reported results of operations or financial position.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(“GAAP”) These principles are subject to interpretation by the SEC and various bodies formed to create and interpret appropriate accounting principles and guidance. A change in these principles or guidance, or in their interpretations, may have a significant effect on our reported results, as well as our processes and related controls.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forecasting is uncertain, and the failure to meet our forecasts could result in a decline in our stock price.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revenues, particularly new software license revenues or economic impacts from M&amp;A activities, are difficult to forecast. We use a pipeline system to forecast revenues and trends in our business. Our pipeline estimates may prove to be unreliable either in a particular quarter or over a longer period of time, in part because the conversion rate of the pipeline into contracts can be difficult to estimate and requires management judgment. A variation in the conversion rate could cause us to plan or budget incorrectly and result in a material adverse impact on our business or our planned results of operations. Furthermore, most of our expenses are relatively fixed, including costs of personnel and facilities. Thus, an unexpected reduction in our revenue, or failure to achieve the anticipated rate of growth or realize synergies from M&amp;A activity, would have a material adverse effect on our profitability. If our operating results do not meet our publicly stated guidance or the expectations of investors or analysts, our stock price may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amortizable intangible assets become impaired, we may be required to record a significant charge to earnings.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review our goodwill for impairment at least annually and when events or changes in circumstances indicate that the carrying value may not be recoverable. As discussed in Note 7 – “Goodwill and Intangible Assets, net” in the Notes to the Consolidated Financial Statements under Item 15 of this Annual Report on Form 10-K, we incurred a goodwill impairment loss of $36,056 thousand, resulting in a negative impact on our results of operations.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current accounting standards, we review intangible assets for impairment either annually or whenever changes in circumstances indicate that the carrying value may not be recoverable. The risk of impairment to goodwill is higher during the early years following an acquisition. This is because the fair values of these assets align very closely with what we paid to acquire the reporting units to which these assets are assigned. When impairment charges are triggered, they tend to be material due to the size of the assets involved. Our business could be adversely affected, and impairment of goodwill could be triggered, if any of the following were to occur: higher attrition rates than planned as a result of the competitive environment or our inability to provide products and services that are competitive in the marketplace, lower-than-planned adoption rates by customers, higher-than-expected expense levels to provide services to customers, sustained declines in our stock price and related market capitalization and changes in our business model that may impact one or more of these variables.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has identified material weaknesses in the Company’s internal control over financial reporting, which could, if not remediated, result in additional material misstatements in the Company’s interim or annual consolidated financial statements.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 13a-15(f) under the Exchange Act. Under the direction of the Company’s Chief Executive Officer and Chief Financial Officer, management conducted an evaluation of the effectiveness of the Company’s internal control over financial reporting. As a result of this evaluation, management identified material weaknesses in the Company’s internal control over financial reporting. Because of these material weaknesses, management concluded that the Company did not maintain effective internal control over financial reporting as of December 31, 2023. Refer to Item 9A. Controls and Procedures of this Report for further information.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in Item 9A. Controls and Procedures of this Report, these material weaknesses resulted in the delayed filing of the Company’s annual Consolidated Financial Statements for the year ended December 31, 2023.</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intends to implement enhancements to its internal control over financial reporting, which are expected to include refinements and enhancements to the controls related to goodwill valuation. The Company intends to begin to implement these enhancements to the design of its controls starting second quarter of 2024 However, these material weaknesses will not be considered remediated until management designs and implements effective controls that operate for a sufficient period of time and management has concluded, through testing, that these controls are effective. The Company will monitor the effectiveness of the remediation plan and will refine the remediation plan, as needed. Until remediated, the material weaknesses could result in future errors to the Company’s financial statements.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Remediation measures are time-consuming on the Company’s financial and operational resources. In order to improve the effectiveness of its internal control over financial reporting, the Company will need to continue to expend resources, including accounting-related costs and management oversight. In view of the Company’s liquidity position, the Company can give no assurance that the measures the Company takes will remediate the material weaknesses or that additional material weaknesses will not arise in the future.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Risks Relating to Cybersecurity Threats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Internal system or service failures could disrupt our business and impair our ability to effectively provide our services and products to our customers, which could damage our reputation and adversely affect our revenues and profitability.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system or service disruptions, on our hosted cloud infrastructure or those caused by ongoing projects to improve our information technology systems and the delivery of services, if not anticipated and appropriately mitigated, could have a material adverse effect on our business including, among other things, an adverse effect on our ability to bill our customers for work performed on our contracts, collect the amounts that have been billed and produce accurate financial statements in a timely manner. We are also subject to systems failures, including network, software or hardware failures, whether caused by us, third-party service providers, cyber security threats, natural disasters, power shortages, terrorist attacks or other events, which could cause loss of data and interruptions or delays in our business, cause us to incur remediation costs, subject us to claims and damage our reputation. In addition, the failure or disruption of our communications or utilities could cause us to interrupt or suspend our operations or otherwise adversely affect our business. Our property and business interruption insurance may be inadequate to compensate us for all losses that may occur as a result of any system or operational failure or disruption and, as a result, our future results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failures or interruptions in our services or systems could damage our reputation and substantially harm our business and 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provide reliable remote services, technology integration and managed services to our customers. The operations of our cloud based applications and analytics are susceptible to damage or interruption from human error, fire, flood, power loss, telecommunications failure, terrorist attacks and similar events. We could also experience failures or interruptions of our systems and services, or other problems in connection with our operations, as a result of:</w:t>
      </w:r>
    </w:p>
    <w:p>
      <w:pPr>
        <w:spacing w:after="0" w:line="1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or failure of our computer software or hardware or our connections;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the processing of data by our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viruses or software defects;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sabotage, intentional acts of vandalism and similar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capacity demands or changes in systems requirements of our customers;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by our employees or third-party service providers.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production interruptions for any reason, such as a natural disaster, epidemic, capacity shortages, or quality problems, at one of our manufacturing partners would negatively affect sales of product lines manufactured by that manufacturing partner and adversely affect our business and operating results.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interruptions in our systems or services could damage our reputation and substantially harm our business and results of operations. While we maintain disaster recovery plans and insurance with coverage we believe to be adequate, claims may exceed insurance coverage limits, may not be covered by insurance or insurance may not continue to be available on commercially reasonable terms.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Digital threats such as cyber-attacks, data protection breaches, computer viruses or malware may disrupt our operations, harm our operating results and damage our reputation, and cyber-attacks or data protection breaches on our customers’ networks, or in cloudbased services provided by or enabled by us, could result in liability for us, damage our reputation or otherwise harm our business.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Despite our implementation of network security measures, the products and services we sell to customers, and our servers, data centers and the cloud based solutions on which our data, and data of our customers, suppliers and business partners are stored, are vulnerable to cyber-attacks, data protection breaches, computer viruses, and similar disruptions from unauthorized tampering or human error. Any such event could compromise our networks or those of our customers, and the information stored on our networks or those of our customers could be accessed, publicly disclosed, lost or stolen, which could subject us to liability to our customers, business partners and others, and could have a material adverse effect on our business, operating results, and financial condition and may cause damage to our reputation. Efforts to limit the ability of malicious third parties to disrupt the operations of the Internet or undermine our own security efforts may be costly to implement and meet with resistance, and may not be successful. Breaches of network security in our customers’ networks, or in cloud based services provided by or enabled by us, regardless of whether the breach is attributable to a vulnerability in our products or services, could result in liability for us, damage our reputation or otherwise harm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Integration of artificial intelligence into our product offerings and our use of artificial intelligence in our operations could result in reputational or competitive harm, legal liability, and other adverse effects on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integrated, and plan to further integrate, AI capabilities into components of our product offerings, and we expect to use AI in our operations. Such integration and use of AI may become more important in our product offerings and operations over time. These AI-related initiatives, whether successful or not, could cause us to incur substantial costs and could result in delays in our software release cadence. Our competitors or other third parties may incorporate AI into their products or operations more quickly or more successfully than we do, which could impair our ability to compete effectively. Additionally, AI algorithms may be flawed and datasets underlying AI algorithms may be insufficient or contain biased information. If the AI tools integrated into our products or those we use in our operations produce analyses or recommendations that are or are alleged to be deficient, inaccurate, or biased, our reputation, business, financial condition, and results of operations may be adversely affected. Other companies have experienced cybersecurity incidents that implicate confidential and proprietary company data and/or the personal data of end users of AI applications integrated into their software offerings or used in their operations. If we were to experience a cybersecurity incident, whether related to the integration of AI capabilities into our product offerings or our use of AI applications in our operations, our business and results of operations could be adversely affected. AI also presents various emerging legal, regulatory and ethical issues, and the incorporation of AI into our product offerings and our use of AI applications in our operations could require us to expend significant resources in developing, testing and maintaining our product offerings and may cause us to experience brand, reputational, or competitive harm, or incur legal liability. On October 30, 2023, the Biden administration issued an Executive Order to, among other things, establish extensive new standards for AI safety and security. Other jurisdictions may decide to adopt similar or more restrictive legislation that may render the use of such technologies challenging. These restrictions may make it harder for us to conduct our business using AI, lead to regulatory fines or penalties, require us to change our product offerings or business practices, or prevent or limit our use of AI.</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use and leverage open-source technology in which may create risks of security weaknesses.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Some parts of our technology may be based on open-source technology. There is a risk that the development team or other third parties may intentionally or unintentionally introduce weaknesses or bugs into the core infrastructure elements of our technology solutions interfering with the use of such technology or causing loss to us.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Relating to our Customers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delay in the completion of our customers’ budget processes could delay purchases of our products and services and have an adverse effect on our business, operating results and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our customers to purchase products and services from us to maintain and increase our earnings, and customer purchases are frequently subject to budget constraints, multiple approvals and unplanned administrative, processing and other delays. If sales expected from a specific customer are not realized when anticipated or at all, our results could fall short of public expectations and our business, operating results and financial condition could be materially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key customers, the importance of which may vary dramatically from year to year, and a loss of one or more of these key customers may adversely affect our operating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top three customers accounted for approximately 22% and 27% of our gross revenue during the years ended December 31, 2023 and 2022, respectively. One customer accounted for 12% of our gross revenue in 2023, and a separate customer accounted for 11% of our gross revenue in 2022; however, each of these customers may or may not continue to be a significant contributor to revenue in 2024. The loss of a significant amount of business from one of our major customers would materially and adversely affect our results of operations until such time, if ever, as we are able to replace the lost business. Significant customers or projects in any one period may not continue to be significant customers or projects in other periods. To the extent that we are dependent on any single customer, we are subject to the risks faced by that customer to the extent that such risks impede the customer’s ability to stay in business and make timely payments to us.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competitiveness depends significantly on our ability to keep pace with the rapid changes in our industry. Failure to anticipate and meet our customers’ technological needs could adversely affect our competitiveness and growth prospects.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operate and compete in an industry characterized by rapid technological innovation, changing customer needs, evolving industry standards and frequent introductions of new products, product enhancements, services and distribution methods. Our success depends on our ability to develop expertise with these new products, product enhancements, services and distribution methods and to implement solutions that anticipate and respond to rapid changes in technology, the industry, and customer needs. The introduction of new products, product enhancements and distribution methods could decrease demand for current products or render them obsolete. Sales of products and services can be dependent on demand for specific product categories, and any change in demand for or supply of such products could have a material adverse effect on our net sales if we fail to adapt to such changes in a timely manner.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assurances that consumer or commercial demand for our future products will meet, or even approach, our expectations. In addition, our pricing and marketing strategies may not be successful. Lack of customer demand, a change in marketing strategy and changes to our pricing models could dramatically alter our financial results. Unless we are able to release location based products that meet a significant market demand, we will not be able to improve our financial condition or the results of our future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and we may be required to reduce the prices for some of our products and services to remain competitive, which could adversely affect our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industry is developing rapidly and related technology trends are constantly evolving. In this environment, we face, among other things, significant price competition from our competitors. As a result, we may be forced to reduce the prices of the products and services we sell in response to offerings made by our competitors and may not be able to maintain the level of bargaining power that we have enjoyed in the past when negotiating the prices of our products and services.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profitability is dependent on the prices we are able to charge for our products and services. The prices we are able to charge for our products and services are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perceptions of our ability to add value through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pricing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charge higher prices where market demand or the value of our products or services justifies 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practices of our customers;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favorable pricing for our products and services, our results of operations could be adversely affected.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fail to satisfy customer demands or to achieve increased market acceptance our results of operations, financial condition and growth prospects could be materially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market acceptance of our products are critical to our continued success. Demand for our products is affected by a number of factors beyond our control, including continued market acceptance, the timing of development and release of new products by competitors, technological change, and growth or decline in the mobile device management market. We expect the proliferation of mobile devices to lead to an increase in the data security demands of our customers, and our products may not be able to scale and perform to meet those demands. If we are unable to continue to meet customer demands or to achieve more widespread market acceptance of these products, our business operations, financial results and growth prospects will be materially and adversely affected.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also a possibility of future tariffs, trade protection measures, import or export regulations or other restrictions imposed on our products or on our customers by the United States, China or other countries that could have a material adverse effect on our business. A significant trade disruption or the establishment or increase of any tariffs, trade protection measures or restrictions could result in lost sales adversely impacting our reputation and business. A trade war, other governmental action related to tariffs or international trade agreements, changes in U.S. social, political, regulatory and economic conditions or in laws and policies governing foreign trade, manufacturing, development and investment in the territories and countries where we currently do business or any resulting negative sentiments towards the United States could adversely affect our supply chain economics, consolidated revenue, earnings and cash flow.</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new products or enhance our product to keep pace with our industry’s rapidly changing technology and customer requirements.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industry in which we operate is characterized by rapid technological changes, new product introductions, enhancements, and evolving industry standards. Our business prospects depend on our ability to develop new products and applications for our technology in new markets that develop as a result of technological and scientific advances, while improving performance and cost-effectiveness. New technologies, techniques or products could emerge that might offer better combinations of price and performance than the blockchain technology solutions that are being developed by us. It is important that we anticipate changes in technology and market demand. If we do not successfully innovate and introduce new technology into our anticipated technology solutions or effectively manage the transitions of our technology to new product offerings, our business, financial condition and results of operations could be harmed.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Relating to External Factors and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joint venture, teaming and other arrangements, and these activities involve risks and uncertainties. A failure of any such relationship could have material adverse results on our business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enter into joint venture, teaming and other arrangements. These activities involve risks and uncertainties, including the risk of the joint venture or applicable entity failing to satisfy its obligations, which may result in certain liabilities to us for guarantees and other commitments, the challenges in achieving strategic objectives and expected benefits of the business arrangement, the risk of conflicts arising between us and our partners and the difficulty of managing and resolving such conflicts, and the difficulty of managing or otherwise monitoring such business arrangements. A failure of our business relationships could have a material adverse effect on our business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expose us to numerous legal and regulatory requirements and any violation of these requirements could harm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numerous federal, state and foreign legal requirements on matters as diverse as data privacy and protection, employment and labor relations, immigration, taxation, anticorruption, import/export controls, trade restrictions, internal control and disclosure control obligations, securities regulation and anti-competition. Compliance with diverse and changing legal requirements is costly, time-consuming and requires significant resources. We are also focused on expanding our business in certain identified growth areas, such as health information technology, energy and environment, which are highly regulated and may expose us to increased compliance risk. 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events such as the lasting impact of the COVID-19 pandemic and other general economic factors may impact our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the impact of the COVID-19 pandemic is generally subsiding, the lasting impact on our business and results of operations continues to remain uncertain. While we were able to continue operations remotely throughout the pandemic, we have and may continue to see a continued impact of the pandemic in the deployment and implementation of our products and services as return to office initiatives remain ongoing. In addition, other global events, such as the recent military conflict between Russian and Ukraine and other general economic factors that are beyond our control beyond our control may impact our results of operations. These factors can include interest rates; recession; inflation; unemployment trends; the threat or possibility of war, terrorism or other global or national unrest; political or financial instability; and other matters that influence our customers spending. Increasing volatility in financial markets and changes in the economic climate could adversely affect our results of operation. While we have been able to realize growth in the year ended December 31, 2023 as compared to the year ended December 31, 2022, the impact that these global events will have on general economic conditions is continuously evolving and the ultimate impact that they will have on our results of operations continues to remain uncertain. There are no assurances that we will be able to continue to experience the same growth or not be materially adversely effected.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results of operations and financial condition could be adversely affected by ongoing international conflicts and related disruptions in the global economy.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global economy has been negatively impacted by the military conflict between Russia and Ukraine, and the ongoing conflict between Israel and Hamas has caused political, economic, and military instability in Israel and surrounding regions. While we have no operations in Russia or Ukraine, our business may be indirectly adversely affected by this conflict and its effects, including as a result of financial and economic sanctions imposed by governments in U.S., United Kingdom and European Union, among others, on certain industry sectors and parties in Russia.</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unable to predict the impact of either the Israel-Hamas conflict or the Russia-Ukraine conflict on our business or the global economy. The impact of further escalation of geopolitical tensions related to these conflicts, including increased trade barriers or restrictions on global trade, is unknown and could result in, among other things, heightened cybersecurity threats, protracted or further increased inflation, lower consumer demand, fluctuations in interest and foreign exchange rates and increased volatility in financial markets, any of which could adversely affect our businesses, results of operations and financial condition.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geo-political and economic factors, legal and regulatory requirements, public health and other risks associated with doing business in foreign countries.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provide our products and services to customers worldwide. These risks differ from and potentially may be greater than those associated with our domestic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international business is sensitive to changes in the priorities and budgets of international customers and geo-political uncertainties, which may be driven by changes in threat environments and potentially volatile worldwide economic conditions, various regional and local economic and political factors, risks and uncertainties, as well as U.S. foreign policy.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international sales are also subject to local government laws, regulations and procurement policies and practices, which may differ from U.S. Government regulations, including regulations relating to import-export control, investments, exchange controls and repatriation of earnings, as well as to varying currency, geo-political and economic risks. Our international contracts may include industrial cooperation agreements requiring specific in-country purchases, manufacturing agreements or financial support obligations, known as offset obligations, and provide for penalties if we fail to meet such requirements. Our international contracts may also be subject to termination at the customer’s convenience or for default based on performance, and may be subject to funding risks. We also are exposed to risks associated with using foreign representatives and consultants for international sales and operations and teaming with international subcontractors, partners and suppliers in connection with international programs. As a result of these factors, we could experience award and funding delays on international programs and could incur losses on such programs, which could negatively affect our results of operations and financial condition.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also subject to a number of other risks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in some jurisdictions of effective laws to protect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and conflicting tax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movement of cash;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variety of national and local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import and export of certain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controls or restrictions on exchange of foreign currencies;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international operations (or those of our business partners) could be subject to natural disasters such as earthquakes, tsunamis, flooding, typhoons and volcanic eruptions that disrupt manufacturing or other operations. There may be conflict or uncertainty in the countries in which we operate, including public health issues (for example, an outbreak of a contagious disease such as 2019-Novel Coronavirus (2019-nCoV), avian influenza, measles or Ebola), safety issues, natural disasters, fire, disruptions of service from utilities, nuclear power plant accidents or general economic or political factors. With respect to political factors, the United Kingdom’s 2016 referendum, commonly referred to as “Brexit,” has created economic and political uncertainty in the European Union. Also, the European Union’s General Data Protection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Regulation imposes significant new requirements on how we collect, process and transfer personal data, as well as significant fines for non-compliance. Any of the above risks, should they occur,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 conditions in the global capital markets and the economy generally may materially adversely affect our business and results of operations, and we do not expect these conditions to improve in the near future.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are materially affected by conditions in the global capital markets and the economy generally, both in the U.S. and elsewhere around the world. Weak economic conditions generally, sustained uncertainty about global economic conditions, or a prolonged or further tightening of credit markets could cause our customers and potential customers to postpone or reduce spending on technology products or services or put downward pressure on prices, which could have an adverse effect on our business, results of operations or cash flows. Concerns over inflation, energy costs, geopolitical issues and the availability of credit, in the U.S. have contributed to increased volatility and diminished expectations for the economy and the markets going forward. These factors, combined with volatile oil prices and wavering business and consumer confidence, have precipitated an economic slowdown and uncertain global outlook. Domestic and international equity markets have been experiencing heightened volatility and turmoil. These events and the continuing market upheavals may have an adverse effect on our business. In the event of extreme prolonged market events, such as the global economic recovery, we could incur significant losses.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administrative policy, including changes to existing trade agreements and any resulting changes in international relations, could adversely affect our financial performance and supply chain economics.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changes to U.S. administrative policy, among other possible changes, there may (i) changes to existing trade agreements; (ii) greater restrictions on free trade generally; and (iii) significant increases in tariffs on goods imported into the United States, particularly those manufactured in China. China is currently a leading global source of hardware products, including the hardware products that we use. In January 2020, the U.S. and China entered into Phase One of the Economic and Trade Agreement Between the United States of America and the People’s Republic of China (the “Phase One Trade Agreement”). The Phase One Trade Agreement takes steps to ease certain trade tensions between the U.S. and China, including tensions involving intellectual property theft and forced intellectual property transfers by China. Although the Phase One Trade Agreement is an encouraging sign of progress in the trade negotiations between the U.S. and China, questions still remain as to the enforcement of its terms, the resolution of a number of other points of dispute between the parties, and the prevention of further tensions. If the U.S.-China trade dispute re-escalates or relations between the United States and China deteriorate, these conditions could adversely affect our ability to source our hardware products and therefore our ability to manufacture our products. Our ability to manufacture our products could also be affected by economic uncertainty, in China or by our failure to establish a positive reputation and relationships in China. The occurrence of any of these events could have an adverse effect on our ability to source the components necessary to manufacture our products, which, in turn, could cause our long-term business, financial condition and operating results to be materially adversely affected.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Domestic and foreign government regulation and enforcement of data practices and data tracking technologies is expansive, broadly defined and rapidly evolving. Such regulation could directly restrict portions of our business or indirectly affect our business by constraining our customers’ use of our technology and services or limiting the growth of our markets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Federal, state, municipal and/or foreign governments and agencies have adopted and could in the future adopt, modify, apply or enforce laws, policies, and regulations covering user privacy, data security, technologies that are used to collect, store and/or process data, and/or the collection, use, processing, transfer, storage and/or disclosure of data associated with individuals. The categories of data regulated under these laws vary widely, are often broadly defined, and subject to new applications or interpretation by regulators. The uncertainty and inconsistency among these laws, coupled with a lack of guidance as to how these laws will be applied to current and emerging indoor positioning analytics technologies, creates a risk that regulators, lawmakers or other third parties, such as potential plaintiffs, may assert claims, pursue investigations or audits, or engage in civil or criminal enforcement. These actions could limit the market for our services and technologies or impose burdensome requirements on our services and/or customers’ use of our services, thereby rendering our business unprofitable.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Some features of our services may trigger the data protection requirements of certain foreign jurisdictions, such as the EU General Data Protection Regulation (the “GDPR”), and the EU ePrivacy Directive. In addition, our services may be subject to regulation under current or future laws or regulations. For instance, the EU ePrivacy Directive is soon to be replaced in its entirety by the ePrivacy Regulation, which will bring with it an updated set of rules relevant to many aspects of our business. If our treatment of data, privacy practices or data security measures fail to comply with these current or future laws and regulations in any of the jurisdictions in which we collect and/or process information, we may be subject to litigation, regulatory investigations, civil or criminal enforcement, financial penalties, audits or other liabilities in such jurisdictions, or our customers may terminate their relationships with us. In addition, data protection laws, such as the GDPR, foreign court judgments or regulatory actions could affect our ability to transfer, process and/or receive transnational data that is critical to our operations, including data relating to users, customers, or partners outside the United States. For instance, the GDPR restricts transfers of personal data outside of the European Economic Area, including to the United States, subject to certain requirements. Such data protection laws, judgments or actions could affect the manner in which we provide our services or adversely affect our financial results if foreign customers and partners are not able to lawfully transfer data to us.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area of the law is currently under intense government scrutiny and many governments, including the U.S. government, are considering a variety of proposed regulations that would restrict or impact the conditions under which data obtained from individuals could be collected, processed, stored, transferred, sold or shared with third parties. In addition, regulators such as the Federal Trade Commission and the California Attorney General are continually proposing new regulations and interpreting and applying existing regulations in new ways. For example, in June 2018, California passed the California Consumer Privacy Act (the “CCPA”), which provides new data privacy rights for consumers and new informational, disclosure and operational requirements for companies, effective January 2020. Fines for noncompliance may be up to $7,500 per violation. The burdens imposed by the GDPR and CCPA, and changes to existing laws or new laws regulating the solicitation, collection, processing, or sharing of personal and consumer information, and consumer protection could affect our customers’ utilization of our services and technology and could potentially reduce demand, or impose restrictions that make it more difficult or expensive for us to provide our services.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ongoing legal challenges in Europe to the mechanisms allowing companies to transfer personal data from the European Economic Area to the United States could result in further limitations on the ability to transfer data across borders, particularly if governments are unable or unwilling to reach new or maintain existing agreements that support cross-border data transfers, such as the EUU.S. and Swiss-U.S. Privacy Shield frameworks and the European Commission’s Model Contractual Clauses, each of which are currently under particular scrutiny. Additionally, certain countries have passed or are considering passing laws requiring local data residency. The costs of compliance with, and other burdens imposed by, privacy laws, regulations and standards may limit the use and adoption of our services, reduce overall demand for our services, make it more difficult to meet expectations from or commitments to customers, lead to significant fines, penalties or liabilities for noncompliance, impact our reputation, or slow the pace at which we close sales transactions, any of which could harm our business.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data privacy and may cause our customers or our customers’ customers to resist providing the data necessary to allow our customers to use our services effectively. Even the perception that the privacy of personal information is not satisfactorily protected or does not meet regulatory requirements could inhibit sales of our products or services and could limit adoption of our cloud-based solutions.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fail to abide by applicable privacy laws or to provide adequate notice and/or obtain any required consent from end users, we could be subject to litigation or enforcement action or reduced demand for our services.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customers utilize our services and technologies to track connected devices anonymously and we must rely on our customers to implement and administer notice and choice mechanisms required under applicable laws. If we or our customers fail to abide by these laws, it could result in litigation or regulatory or enforcement action against our customers or against us directly.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actual or perceived failure to comply with our privacy policy or legal or regulatory requirements in one or multiple jurisdictions could result in proceedings, actions or penalties against us.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failure or perceived failure to comply with federal, state or foreign laws or regulations, industry standards, contractual obligations or other legal obligations, or any actual or suspected security incident, whether or not resulting in unauthorized access to, or acquisition, release or transfer of personal data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and changing definitions of what constitutes “Personal Information” and “Personal Data” within the EU, the United States and elsewhere, may limit or inhibit our ability to operate or expand our business, including limiting technology alliance partners that may involve the sharing of data.</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perceived to cause, or are otherwise unfavorably associated with, violations of privacy or data security requirements, it may subject us or our customers to public criticism, financial penalties and potential legal liability. Existing and potential privacy laws and regulations concerning privacy and data security and increasing sensitivity of consumers to unauthorized processing of personal data may create negative public reactions to technologies, products and services such as ours. Public concerns regarding personal data processing, privacy and security may cause some of our customers’ end users to be less likely to visit their venues or otherwise interact with them. If enough end users choose not to visit our customers’ venues or otherwise interact with them, our customers could stop using our platform. This, in turn, may reduce the value of our service, and slow or eliminate the growth of our business, or cause our business to contract.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Around the world, there are numerous lawsuits in process against various technology companies that process personal information and personal data. If those lawsuits are successful, it could increase the likelihood that our company may be exposed to liability for our own policies and practices concerning the processing of personal data and could hurt our business. Furthermore, the costs of compliance with, and other burdens imposed by laws, regulations and policies concerning privacy and data security that are applicable to the businesses of our customers may limit the use and adoption of our technologies and reduce overall demand for it. Privacy concerns, whether or not valid, may inhibit market adoption of our technologies. Additionally, concerns about security or privacy may result in the adoption of new legislation that restricts the implementation of technologies like ours or require us to make modifications to our existing services and technology, which could significantly limit the adoption and deployment of our technologies or result in significant expense.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 excise tax included in the Inflation Reduction Act of 2022 in connection with redemptions of our common stock on or after January 1, 2023.</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(H.R. 5376), which, among other things, imposes a 1% excise tax on certain domestic corporations that repurchase their stock on or after January 1, 2023 (the “Excise Tax”). The Excise Tax is imposed on the fair market value of the repurchased stock, with certain exceptions. The Excise Tax is expected to apply to any redemptions of our Class A common stock occurring on or after January 1, 2023, including redemptions in connection with the Business Combination, unless an exemption is available. Issuances of securities in connection with the Business Combination are expected to reduce the amount of the Excise Tax in connection with redemptions occurring in the same calendar year, but the fair market value of securities redeemed may exceed the fair market value of securities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may be exposed to failure of our banking institutions.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seek to minimize our exposure to third-party losses of our cash and cash equivalents, we hold our balances in a number of large financial institutions. Notwithstanding, those institutions are subject to risk of failure. For example, on March 10, 2023, Silicon Valley Bank (“SVB”) was unable to continue their operations and the Federal Deposit Insurance Corporation was appointed as receiver for SVB and created the National Bank of Santa Clara to hold the deposits of SVB after SVB was unable to continue their operations. As of March 20, 2023, substantially all of our cash and cash equivalents are held with other large financial institutions, and we do not expect further developments with SVB to have a material impact on our cash and cash equivalents balance, expected results of operations, or financial performance for the foreseeable future. However, if further failures in financial institutions occur where we hold deposits, we could experience additional risk. Any such loss or limitation on our cash and cash equivalents would adversely affect our business.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CXApp’s information security program is implemented based on ISO 27001 and SOC 2 frameworks.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Program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information security program, CX App has a risk management program that continuously engages in the process of identifying, evaluating, and treating risks around the organization’s valuable information. It addresses uncertainties around information assets to ensure the desired business outcomes are achieved. CX App performs annual Risk Assessments (RAs) to determine security risks in corporate operations, products, and services, and initiates appropriate remediation.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CXApp’s information security program is aligned with business objectives that establish rules governing how to identify risks, assign risk ownership, how the risks impact the confidentiality, integrity and availability of the information and the method of treatment for identified risks. A formal risk assessment methodology is approved by management.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risk management framework includes guidelines for identifying and estimating the cost of protective measures to eliminate or reduce the security risks to an acceptable level.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operations, products, services, information assets and information systems that are owned and operated by CXApp are assessed for risks that result from threats to the integrity, availability, and confidentiality of CXApp’s data.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risk management program focuses on the following five types of activities:</w:t>
      </w:r>
    </w:p>
    <w:p>
      <w:pPr>
        <w:spacing w:after="0" w:line="221" w:lineRule="exact"/>
        <w:rPr>
          <w:sz w:val="20"/>
          <w:szCs w:val="20"/>
          <w:color w:val="auto"/>
        </w:rPr>
      </w:pPr>
    </w:p>
    <w:p>
      <w:pPr>
        <w:ind w:left="660" w:hanging="328"/>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Identification of Strategic Objectives: </w:t>
      </w:r>
      <w:r>
        <w:rPr>
          <w:rFonts w:ascii="Times New Roman" w:cs="Times New Roman" w:eastAsia="Times New Roman" w:hAnsi="Times New Roman"/>
          <w:sz w:val="18"/>
          <w:szCs w:val="18"/>
          <w:color w:val="auto"/>
        </w:rPr>
        <w:t>The alignment of strategic objectives and risk management to avoid siloed risk management approach.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is the key step in performing risk assessments.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Identification of Risks: </w:t>
      </w:r>
      <w:r>
        <w:rPr>
          <w:rFonts w:ascii="Times New Roman" w:cs="Times New Roman" w:eastAsia="Times New Roman" w:hAnsi="Times New Roman"/>
          <w:sz w:val="18"/>
          <w:szCs w:val="18"/>
          <w:color w:val="auto"/>
        </w:rPr>
        <w:t>A continuous effort to identify which risks are likely to affect the CXApp’s strategic objectives and consequently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functions and business continuity of CXApp and documenting their characteristics.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Analysis of Risks: </w:t>
      </w:r>
      <w:r>
        <w:rPr>
          <w:rFonts w:ascii="Times New Roman" w:cs="Times New Roman" w:eastAsia="Times New Roman" w:hAnsi="Times New Roman"/>
          <w:sz w:val="18"/>
          <w:szCs w:val="18"/>
          <w:color w:val="auto"/>
        </w:rPr>
        <w:t>An estimation of the probability (likelihood), impact, and prioritization of risks relative to each other.</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Mitigation Planning: </w:t>
      </w:r>
      <w:r>
        <w:rPr>
          <w:rFonts w:ascii="Times New Roman" w:cs="Times New Roman" w:eastAsia="Times New Roman" w:hAnsi="Times New Roman"/>
          <w:sz w:val="18"/>
          <w:szCs w:val="18"/>
          <w:color w:val="auto"/>
        </w:rPr>
        <w:t>Decisions and actions that will reduce the impact of risks as well as limit the probability of their occurrence or improve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a risk occurrence.</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Tracking and Controlling Risks: </w:t>
      </w:r>
      <w:r>
        <w:rPr>
          <w:rFonts w:ascii="Times New Roman" w:cs="Times New Roman" w:eastAsia="Times New Roman" w:hAnsi="Times New Roman"/>
          <w:sz w:val="18"/>
          <w:szCs w:val="18"/>
          <w:color w:val="auto"/>
        </w:rPr>
        <w:t>Collection and reporting of status information about risks and their mitigation plans, response to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risks over time, and management oversight of corrective measures taken in accordance with the mitigation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part of the risk management program, responsibility is assigned to Information Technology (IT) Department, systems owners, department managers, and executive management.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in Managing Risks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Department is responsible for conducting a risk assessment as well as prioritizing, implementing, and maintaining the appropriate risk-reduction measures defined in the risk assessment process.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Risk owners are the individuals who are ultimately accountable for ensuring the risk is managed appropriately. There may be multiple personnel who have direct responsibility for or oversee activities to manage each identified risk and collaborate with the accountable risk owner in his/her risk management efforts. Responsibilities for the continued development, implementation, and maintenance of the risk management program are also assigned internally to IT.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Executive Management is responsible for the sponsorship and support of the risk management plan and processes, participating in the risk management meetings, and reviewing and approving risk assessments and risk mitigation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plays an active role by meeting periodically to review the status of the organization’s the information security program and roadmap for new cybersecurity risk management initiatives.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oversees cybersecurity risk management by evaluating whether management has current cybersecurity policies and procedures, regularly assesses, and monitors cybersecurity risks and receives regular reports on the organization’s cybersecurity posture.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Four Palo Alto Square, Suite 200, 3000 El Camino Real, Palo Alto, CA 94306 and our telephone number is 650-785-7171. Through our subsidiary CXApp US, Inc., we lease additional office space in San Ramon, California. We also lease office space in Alabang, Philippines and Ontario, Canada through our subsidiary CXApp Phippines, Inc. and CXApp Canada, Inc.,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the office facilities are sufficient for the foreseeable future and this arrangement will remain until we find a new business opportunity.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is any material legal proceeding threatened against us or any of our officers or directors in their corporate capacity.</w:t>
      </w:r>
    </w:p>
    <w:p>
      <w:pPr>
        <w:spacing w:after="0" w:line="158"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Market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and warrants currently trade on the Nasdaq Capital Market under the symbols “CXAI” and “CXAIW,” respectively. Prior to the consummation of the Business Combination, KINS’ Class A common stock and redeemable warrants that were separately traded on the Nasdaq Capital Market under the symbols “KINZ” and “KINZW”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May 20, 2024, there were approximately 93 holders of record of our shares of Class A common stock and approximately 18 holders of record of our redeemable warrants. This includes Cede &amp; Co., which holds shares on behalf of the beneficial owners of the Company’s common stock. Because brokers and other institutions hold many of our shares on behalf of stockholders, we are unable to estimate the total number of stockholders represented by these record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to date and do not intend to pay cash dividends.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and other factors the board of directors deems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information required by this item with respect to our equity compensation plans, please see Item 11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Performance Graph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performance graph has been omitted as permitted under rules applicable to smaller reporting companies.</w:t>
      </w:r>
    </w:p>
    <w:p>
      <w:pPr>
        <w:spacing w:after="0" w:line="221" w:lineRule="exact"/>
        <w:rPr>
          <w:sz w:val="20"/>
          <w:szCs w:val="20"/>
          <w:color w:val="auto"/>
        </w:rPr>
      </w:pPr>
    </w:p>
    <w:p>
      <w:pPr>
        <w:ind w:left="660" w:right="4640" w:hanging="652"/>
        <w:spacing w:after="0" w:line="500" w:lineRule="auto"/>
        <w:tabs>
          <w:tab w:leader="none" w:pos="23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Securities; Use of Proceeds from Registered Offerings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consolidated financial statements and related notes included elsewhere in this Form 10-K, with KIN’s consolidated financial statements included in its annual report on Form 10K/A for the year ended December 31, 2022, as filed with the SEC on April 21, 2023, and the annual report of Legacy CXApp included as an exhibit in the Form 8-K, as filed with the SEC on March 20, 2023. References in this report (the “Annual Report”) to “we”, “us” or the “Company” refer to CXApp Inc. References to our “management” or our “management team” refer to our officers and directors. The following management’s discussion and analysis of financial condition and results of operations describes the principal factors affecting the results of our operations, financial condition, and changes in financial condition for the year ended, December 31, 2023, for the predecessor and successor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CXApp SaaS platform offers a suite of leading-edge technology workplace experience solutions including an enterprise employee application, indoor mapping, on-device positioning, augmented reality technologies and an AI-based analytics platform, targeting the emerging hybrid workplace market to provide enhanced experiences across people, places, and things.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CXApp creates a connected workplace by reducing app overload, data fragmentation, and complex workflows and streamlines all capabilities through The Workplace SuperApp. All features, services, and integrations are housed in one easy-to-access platform allowing businesses to deliver a more holistic employee experience in a hybrid workplace.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closing of the Business Combination, CXApp and subsidiaries were wholly owned subsidiary of Inpixon (“Inpixon”) and the Company’s financial statements consist of Design Reactor, Inpixon Canada, Inpixon Philippines and select assets, liabilities, revenues and expenses of Inpixon and Inpixon India (collectively the “Company,” “we,” “us” or “our”), show the historical combined carve-out financial position, results of operations, changes in net investment and cash flows of the Company and should be read in conjunction with the accompanying notes thereto. The Company’s combined carve-out financial statements do not necessarily reflect what the results of operations, financial position, or cash flows would have been had the Company been a separate entity nor are they indicative of future results of the Company.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combined carve-out operating results of the Company have been specifically identified based on the Company’s existing divisional organization. The majority of the assets and liabilities of the Company have been identified based on the existing divisional structure. The historical costs and expenses reflected in the Company’s financial statements include an allocation for certain corporate and shared service functions. Management believes the assumptions underlying our combined carve-out financial statements are reasonable. Nevertheless, our combined carve-out financial statements may not include all of the actual expenses that would have been incurred had we operated as a standalone company during the periods presented and may not reflect our results of operations, financial position and cash flows had we operated as a standalone company during the periods presented. Actual costs that would have been incurred if we had operated as a standalone company would depend on multiple factors, including organizational structure and strategic decisions made in various areas, including information technology and infrastructure. We also may incur additional costs associated with being a standalone, publicly listed company that were not included in the expense allocations and, therefore, would result in additional costs that are not reflected in our historical results of operations, financial position and cash flows.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25, 2022, an Agreement and Plan of Merger (the “Merger Agreement”), was entered into by and among Inpixon, KINS Technology Group Inc., a Delaware corporation (“KINS”), CXApp Holding Corp., a Delaware corporation and newly formed wholly owned subsidiary of Inpixon (“CXApp”), and KINS Merger Sub Inc., a Delaware corporation and a wholly-owned subsidiary of KINS (“Merger Sub”), pursuant to which KINS acquired Inpixon’s enterprise apps business (including its workplace experience technologies, indoor mapping, events platform, augmented reality and related business solutions) (the “Enterprise Apps Business”) in exchange for the issuance of shares of KINS capital stock valued at $69,928 thousand (the “Business Combination”). The transaction closed at the end of business on March 14, 2023.</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Immediately prior to the Merger at the end of business on March 14, 2023 and pursuant to a Separation and Distribution Agreement, dated as of September 25, 2022, among KINS, Inpixon, CXApp and Design Reactor, (the “Separation Agreement”), and other ancillary conveyance documents, Inpixon, among other things and on the terms and subject to the conditions of the Separation Agreement, transferred the Enterprise Apps Business, including certain related subsidiaries of Inpixon, including Design Reactor, to CXApp (the “Reorganization”). Following the Reorganization, Inpixon distributed 100% of the common stock of CXApp, par value $0.0001, to certain holders of Inpixon securities as of the record date (the “Spin-Off”).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in accordance with and subject to the terms and conditions of the Merger Agreement, Merger Sub merged with and into CXApp (the “Merger”), with CXApp continuing as the surviving company and as a wholly-owned subsidiary of KINS.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Merger Agreement, along with the Separation and Distribution Agreement and the other transaction documents entered into in connection therewith, provided for, among other things, the consummation of the following transactions: (i) Inpixon transferred the Enterprise Apps Business (the “Separation”) to its wholly-owned subsidiary, CXApp, and contributed approximately $4,000 thousand in additional cash so that CXApp would have a minimum of $10,000 thousand in cash and cash equivalents as of the closing of the Business Combination before deduction of expenses (the “Cash Contribution”), (ii) following the Separation, Inpixon distributed 100% of the shares of CXApp Common Stock to Inpixon securityholders by way of the Distribution and (iii) following the completion of the foregoing transactions and subject to the satisfaction or waiver of certain other conditions set forth in the Merger Agreement, the parties consummated the Merger. The Separation, Distribution and Merger were intended to qualify as “tax-free” transactions.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the Business Combination was effected (the “Closing”), the outstanding shares of CXApp Common Stock after the Distribution and immediately prior to the effective time of the Merger were converted into an aggregate of 7,035,000 shares of KINS Common Stock which was issued to Inpixon securityholders, subject to adjustment. Each holder’s aggregate merger consideration consisted of approximately 22% KINS Class A Common Stock and approximately 78% KINS Class C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for the Business Combination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Business Combination was accounted for using the acquisition method (as a forward merger), with goodwill and other identifiable intangible assets recorded in accordance with GAAP, as applicable. Under this method of accounting, CXApp is treated as the “acquired” company for financial reporting purposes. KINS has been determined to be the accounting acquirer because KINS maintains control of the Board of Directors and management of the combined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Warrant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2023, 613,138 public warrants, with fair value of approximately $549 thousand, were surrendered for a cashless exercise in exchange for 49,608 shares of Class A Common Stock. The Company recorded this transaction in the third quarter of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13, 2023, warrant holders exercised 435 thousand public warrants at an exercise price of $11.50, for a total of $5,002 thousand of cash proceeds to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14, 2023, the Company entered into a Warrant Exchange Agreement (the “Agreement”) with third party investor (the “Warrant Holder”) with respect to warrants to purchase an aggregate of 2,000 thousand shares of its common stock, par value $0.0001 per share (the “Common Stock”) initially issued by the Company in its initial public offering on December 15, 2020 (the “Public Warrants”). Pursuant to the Agreement, the Company issued an aggregate of 600 thousand shares of Common Stock to the Warrant Holder in exchange for the surrender and cancellation of the Public Warrants held by such holder. This resulted in an additional paid in capital of $4,914 thousand in a non-cash transaction and resulted in a $3,900 thousand loss on the warrant conversion, which is included in change in fair value of derivative liability in the statement of operations.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December 2023 Note Purchase Agreement and Promissory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15, 2023, we entered into a note purchase agreement with Streeterville Capital, LLC (the “Holder”), pursuant to which we agreed to issue and sell to the Holder an unsecured promissory note (the “December 2023 Note”) in an aggregate initial principal amount of $3,885 thousand, which is payable on or before the date that is 12 months from the issuance date. The initial principal amount includes an original issue discount of $870 thousand and $15 thousand that we agreed to pay to the Holder to cover the Holder’s legal fees, accounting costs, due diligence, monitoring and other transaction costs. Net proceeds from the December 2023 Note is $3,000 thousand.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on the December 2023 Note accrues at a rate of 10% per annum and is payable on the maturity date or otherwise in accordance with the December 2023 Note. We may pay all or any portion of the amount owed earlier than it is due.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on the date that is 6 months from the issuance date and at the intervals indicated below until the December 2023 Note is paid in full, the Holder shall have the right to redeem up to an aggregate of 1/6th of the initial principal balance of the December 2023 Note plus any interest accrued thereunder each month by providing written notice delivered to us; provided, however, that if the Holder does not exercise any monthly redemption amount in its corresponding month then such monthly redemption amount shall be available for the Holder to redeem in any further month in addition to such future month’s monthly redemption amount.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receipt of any monthly redemption notice, we shall pay the applicable monthly redemption amount in cash to the Holder within five (5) business days of the Company’s receipt of such monthly redemption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December 2023 Note includes customary event of default provisions, subject to certain cure periods, and provides for a default interest rate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occurrence of a Change in Control, and without further notice to Holder, all unpaid principal, plus all accrued interest, original issue discount, and other amounts due hereunder, shall become immediately due and payable.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May 15, 2024, the outstanding principal of the note is $4,050 thousand. The unamortized original issue discount and unamortized financing cost amounts to $508 thousand and $9 thousand, respectively, as of May 15,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CXApp’s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Base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customer base is currently operating within approximately 5 different industries, including approximately 28% in Technology, 14% in Financial Services, 30% in Consumer, 9% in Healthcare and 19% in Media &amp; Entertainment. Approximately 85% of our customers are headquartered in the United States; with over 397 customer campuses built out across approximately 217 cities and over 59 countries throughout the world.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uses key metrics such as total revenue growth, recurring and non-recurring revenue, existing customer expansion rates, number of customer campuses (which management believes is a more meaningful metric to measure performance than total number of customers), and churn rates to measure customer growth and market penetration. The CXApp carve-out financials show that our revenue has decreased from approximately $8,470 thousand for the twelve-month period ending December 2022 (Predecessor) to approximately $1,620 thousand for the period January 1, 2023 to March 14, 2023 (Predecessor) and $5,746 thousand for the period from March 15, 2023 to December 31, 2023 (Successor) for a total of $7,366 thousand for the year ended December 31, 2023. Approximately 78% of the Company’s revenue was recurring in 2023 and approximately 65% was recurring in 2022. Approximately 17% of our customers have expanded to add additional revenue opportunities with new campuses, features, or integrations within twelve months of initial deployment and we have an average quarterly customer churn rate of less than 3% for the year ended December 31, 2023.</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increase revenues from existing customers by identifying additional opportunities to sell more of our products and services and our ability to obtain new customers depends on a number of factors, including our ability to offer high quality products and services at competitive prices, the strength of our competitors and the capabilities of our sales and marketing departments. If we are not able to continue to increase sales of our products and services to existing customers or to obtain new customers in the future, we may not be able to increase our revenues and could suffer a decrease in revenues as well.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top three customers accounted for approximately 22% and 27% of our gross revenue during each of the years ended December 31, 2023 and 2022, respectively. One customer accounted for 12% of our gross revenue in 2023 and a separate customer accounted for 11% in 2022; however, each of these customers may or may not continue to be a significant contributor to revenue in 2024. The loss of a significant amount of business from one of our major customers would materially and adversely affect our results of operations until such time, if ever, as we are able to replace the lost business. Significant customers or projects in any one period may not continue to be significant customers or projects in other periods. To the extent that we are dependent on any single customer, we are subject to the risks faced by that customer to the extent that such risks impede the customer’s ability to stay in business and make timely payments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industry is developing rapidly, and related technology trends are constantly evolving. In this environment, we face, among other things, significant price competition from our competitors. As a result, we may be forced to reduce the prices of the products and services we sell in response to offerings made by our competitors and may not be able to maintain the level of bargaining power that we have enjoyed in the past when negotiating the prices of our products and services.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profitability is dependent on the prices we are able to charge for our products and services. The prices we are able to charge for our products and services are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perceptions of our ability to add value through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pricing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charge higher prices where market demand or the value of our products or services justifies 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practices of our customers;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favorable pricing for our products and services, our results of operations could be adversely affected.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there is significant opportunity to expand our customer base by making investments in sales, marketing, and brand awareness. Our ability to attract new customers will depend on several factors, including our success in recruiting, training, retaining, and scaling our sales and marketing organization, as well as our ability to capitalize on the competitive dynamics of our target markets. Sales force expansion will be necessary to cover a wider array of markets that are currently underserved.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During the year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added resources dedicated for developing the Artificial Intelligence (AI) based Augmented Reality (AR) which will provide digital transformation in CXApp SaaS platform. The management believes that this investment in research and development will maintain a competitive position and create opportunities for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 and World Environment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has been impacted by the COVID-19 pandemic and general macroeconomic conditions and may continue to be impacted. While we have been able to continue operations remotely, we have and continue to experience impact in the demand of certain products and delays in certain projects and customer orders either because of customer facilities being partially or fully closed during the pandemic or because of the uncertainty of the customer’s financial position and ability to invest in our technology. If we are unable to successfully respond and manage the impact of the pandemic, and the resulting responses to it, our business, operations, financial condition and results of operations could be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the Year Ended December 31, 2022</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the purposes of the analysis of the results presented herein, the Company is presenting the combined results of operations for the period March 15, 2023 to December 31, 2023 of the Successor Company with the period January 1, 2023 to March 14, 2023 of the Predecessor Company. Although this presentation is not in accordance with accounting principles generally accepted in the United States, the Company believes presenting and analyzing the combined results allows for a more meaningful comparison of results for the twelve-month period ended December 31, 2023 to the year ended December 31, 2022. The following selected data from our audited consolidated statements of operations and other supplementary data should be referred to while reading the results of operations discussion that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Change in fair value of derivative liability Other income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right w:val="single" w:sz="8" w:color="auto"/>
            </w:tcBorders>
            <w:gridSpan w:val="2"/>
            <w:vMerge w:val="restart"/>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3"/>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00" w:type="dxa"/>
            <w:vAlign w:val="bottom"/>
          </w:tcPr>
          <w:p>
            <w:pPr>
              <w:spacing w:after="0"/>
              <w:rPr>
                <w:sz w:val="20"/>
                <w:szCs w:val="20"/>
                <w:color w:val="auto"/>
              </w:rPr>
            </w:pPr>
          </w:p>
        </w:tc>
        <w:tc>
          <w:tcPr>
            <w:tcW w:w="1140" w:type="dxa"/>
            <w:vAlign w:val="bottom"/>
            <w:tcBorders>
              <w:right w:val="single" w:sz="8" w:color="auto"/>
            </w:tcBorders>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60" w:type="dxa"/>
            <w:vAlign w:val="bottom"/>
          </w:tcPr>
          <w:p>
            <w:pPr>
              <w:spacing w:after="0"/>
              <w:rPr>
                <w:sz w:val="20"/>
                <w:szCs w:val="20"/>
                <w:color w:val="auto"/>
              </w:rPr>
            </w:pPr>
          </w:p>
        </w:tc>
        <w:tc>
          <w:tcPr>
            <w:tcW w:w="248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Changes</w:t>
            </w:r>
          </w:p>
        </w:tc>
        <w:tc>
          <w:tcPr>
            <w:tcW w:w="0" w:type="dxa"/>
            <w:vAlign w:val="bottom"/>
          </w:tcPr>
          <w:p>
            <w:pPr>
              <w:spacing w:after="0"/>
              <w:rPr>
                <w:sz w:val="1"/>
                <w:szCs w:val="1"/>
                <w:color w:val="auto"/>
              </w:rPr>
            </w:pPr>
          </w:p>
        </w:tc>
      </w:tr>
      <w:tr>
        <w:trPr>
          <w:trHeight w:val="187"/>
        </w:trPr>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0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Borders>
              <w:right w:val="single" w:sz="8" w:color="auto"/>
            </w:tcBorders>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March 14,</w:t>
            </w:r>
          </w:p>
        </w:tc>
        <w:tc>
          <w:tcPr>
            <w:tcW w:w="1240" w:type="dxa"/>
            <w:vAlign w:val="bottom"/>
            <w:tcBorders>
              <w:right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320" w:type="dxa"/>
            <w:vAlign w:val="bottom"/>
            <w:gridSpan w:val="4"/>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1"/>
        </w:trPr>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5,746</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1,620</w:t>
            </w: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7,366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8,470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(1,104)</w:t>
            </w:r>
          </w:p>
        </w:tc>
        <w:tc>
          <w:tcPr>
            <w:tcW w:w="2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52,686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58,204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18"/>
                <w:szCs w:val="18"/>
                <w:color w:val="auto"/>
              </w:rPr>
            </w:pPr>
          </w:p>
        </w:tc>
        <w:tc>
          <w:tcPr>
            <w:tcW w:w="11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(52,589)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(29,025)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23,564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116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1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(53,618</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(29,175</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-1431290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-1148080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-873760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-599440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-325120</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240"/>
            <w:col w:w="7960"/>
          </w:cols>
          <w:pgMar w:left="320" w:top="765" w:right="339" w:bottom="1440" w:gutter="0" w:footer="0" w:header="0"/>
          <w:type w:val="continuous"/>
        </w:sectPr>
      </w:pPr>
    </w:p>
    <w:p>
      <w:pPr>
        <w:spacing w:after="0" w:line="25" w:lineRule="exact"/>
        <w:rPr>
          <w:sz w:val="20"/>
          <w:szCs w:val="20"/>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used to calculate dollar and percentage changes are based on numbers in the thousands. Accordingly, calculations in this item, which may be rounded to the nearest hundred thousand, may not produce the same results.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derives revenue from software as a service, design, deployment and implementation services for its enterprise apps business. Non-GAAP combined revenue for the year ended December 31, 2023 were $7,366 thousand, compared to $8,470 thousand for the comparable period in the prior year for a decrease of approximately $1,104 thousand, or approximately 13%. The decrease was due to a decline in Professional Services revenue. Professional services are related to integration works and other services that may be requested by the customer, wherein 78% of our recognized revenue is subscription revenue, and as such the decline in revenue is attributable to the professional services revenue because the Company has moved to a full SaaS model versus one-time professional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includes the direct costs to deliver the services including labor, overhead, hardware and shipping and freight costs. Non-GAAP combined cost of revenues for the year ended December 31, 2023 were $1,751 thousand compared to $2,064 thousand for the comparable period in the prior year. This decrease in cost of revenues of approximately $313 thousand, or approximately 15%, was attributable to the decrease in professional services revenue related costs.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calculated as revenues less costs of revenues, may vary between periods and is primarily affected by various factors including average selling prices, product costs, product mix, customer mix, and production volumes. The gross profit margin for the year ended December 31, 2023 was 76% (Non-GAAP combined) compared to 76% for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consist primarily of research and development costs, sales and marketing costs, and general and administrative costs. Non-GAAP combined operating expenses for the year ended December 31, 2023 were $58,204 thousand and $35,431 thousand for the comparable period ended December 31, 2022. This increase of $22,773 thousand is primarily attributable to increase in impairment of goodwill of $30,516 thousand and a decrease of $7,743 thousand in other operating expenses as an effect of management reduction effort post-business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Non-GAAP combined loss from operations for the year ended December 31, 2023 was $52,589 thousand as compared to $29,025 thousand for the comparable period in the prior year. This increase in loss of $23,564 thousand is primarily attributable to increased operating expenses as detailed above plus the decreased gross profit of approximately $791 thousand.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change in fair value of derivative liabilities. Change in fair value of derivative liabilities for the year ended December 31, 2023 is a loss of approximately $4,714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an income tax benefit of $3,572 thousand for the year ended December 31, 2023 (Non-GAAP combined) and an income tax loss of approximately $153 thousand for the year ended December 31, 2022. The net income tax benefit for the year ended December 31, 2023 is primarily a result of the release of valuation allowance attributable to acquired intangible assets from the Business Combination on March 14,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Non-GAAP combined net loss for the year ended December 31, 2023 was $53,618 thousand, compared to $29,175 thousand for the comparable period in the prior year. This increase in loss of approximately $24,443 thousand was primarily attributable to the increase in operating expenses of $22,773 thousand, change in fair value of derivative liabilities of $4,714 thousand, and other income of $110 thousand, the lower gross margin of $791 thousand, offset by a lower income tax benefit of approximately $3,725 thousand.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Report includes a non-GAAP measure that we use to supplement our results presented in accordance with U.S. GAAP. EBITDA is defined as earnings before interest and other income, tax and depreciation and amortization. Adjusted EBITDA is used by our management as the matrix in which it manages the business. It is defined as EBITDA plus adjustments for other income or expense items, non-recurring items and non-cash stock-based compensation.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non-GAAP measure excludes certain items required by U.S. GAAP and should not be considered as an alternative to information reported in accordance with U.S. GAAP. The table below presents our adjusted EBITDA reconciled to net income, the most comparative GAAP measure, for the periods indicated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187"/>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21"/>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7320" w:type="dxa"/>
            <w:vAlign w:val="bottom"/>
          </w:tcPr>
          <w:p>
            <w:pPr>
              <w:spacing w:after="0"/>
              <w:rPr>
                <w:sz w:val="18"/>
                <w:szCs w:val="18"/>
                <w:color w:val="auto"/>
              </w:rPr>
            </w:pPr>
          </w:p>
        </w:tc>
        <w:tc>
          <w:tcPr>
            <w:tcW w:w="1280" w:type="dxa"/>
            <w:vAlign w:val="bottom"/>
            <w:tcBorders>
              <w:right w:val="single" w:sz="8" w:color="auto"/>
            </w:tcBorders>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 (benefit)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4,531</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transaction/financing costs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compensation expense/(benefit)</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5,540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notes, loans, investments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 compensation and related benefits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1,640</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754</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40" w:type="dxa"/>
            <w:vAlign w:val="bottom"/>
            <w:tcBorders>
              <w:top w:val="single" w:sz="8" w:color="CCEEFF"/>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rely on Adjusted EBITDA, which is a non-GAAP financial measure for the following:</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compare our current operating results with corresponding periods and with the operating results of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basis for allocating resources to various projects;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measure to evaluate potential economic outcomes of acquisitions, operational alternatives and strategic decisions;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internally the performance of our personnel.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presented Adjusted EBITDA above because we believe it conveys useful information to investors regarding our operating results. We believe it provides an additional way for investors to view our operations, when considered with both our GAAP results and the reconciliation to net income (loss). By including this information, we can provide investors with a more complete understanding of our business. Specifically, we present Adjusted EBITDA as supplemental disclosure because of the following:</w:t>
      </w:r>
    </w:p>
    <w:p>
      <w:pPr>
        <w:spacing w:after="0" w:line="180" w:lineRule="exact"/>
        <w:rPr>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Adjusted EBITDA is a useful tool for investors to assess the operating performance of our business without the effect of interest, income taxes, depreciation and amortization and other non- cash items including acquisition transaction and financing costs, earnout compensation expense, professional service fees, goodwill impairment, unrealized gains, stock-based compensation, severance costs, interest income and expense, and income tax benefit.</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it is useful to provide investors with a standard operating metric used by management to evaluate our operating performance;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 use of Adjusted EBITDA is helpful to compare our results to other companies.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though we believe Adjusted EBITDA is useful for investors, it does have limitations as an analytical tool. Thus, we strongly urge investors not to consider this metric in isolation or as a substitute for net income (loss) and the other consolidated statement of operations data prepared in accordance with GAAP. Some of these limitations include the fact that:</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significant interest expense or the cash requirements necessary to service interest or principal payments on our debt;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or other taxes or the cash requirements to make any tax payments;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 thereby potentially limiting its usefulness as a comparative measure.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 measure of discretionary cash available to us to invest in the growth of our business or as a measure of performance in compliance with GAAP. We compensate for these limitations by relying primarily on our GAAP results and providing Adjusted EBITDA only as supplemental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has a working capital deficit of approximately $1,287 thousand and cash of approximately $6,275 thousand. For the period from March 15, 2023 to December 31, 2023 (Successor) the Company incurred net loss of approximately $49,238 thousand. For the period March 15 to December 31, 2023 (Successor) the Company used approximately $12,766 thousand of cash for operating activities, of which $5,876 thousand was from a reduction in accrued liabilities, primarily paying merger related transaction liabilities. The Predecessor Company used approximately $5,144 thousand and $18,895 thousand cash for operating activities for period January 1, 2023 to March 14, 2023 and year ended December 31, 2022, respectively.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Management believes that the current liquidity position, including the cash raised under the promissory note of $3,000 thousand dollars payable by December 2024, and the equity line financing agreement we entered into on May 22, 2024 for up to $10,000 thousand, with an initial draw of $2,500 thousand in the second quarter of 2024, has the ability to mitigate any going concern indicators for a period of at least one year from the date these financial statements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as of December 31, 2023 Compared With December 31, 2022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net cash flows used in operating, investing and financing activities and certain balances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8"/>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4"/>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20,728</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Working capital surplus (deficit)</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vMerge w:val="restart"/>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(1,287</w:t>
            </w:r>
          </w:p>
        </w:tc>
        <w:tc>
          <w:tcPr>
            <w:tcW w:w="120" w:type="dxa"/>
            <w:vAlign w:val="bottom"/>
            <w:vMerge w:val="continue"/>
          </w:tcPr>
          <w:p>
            <w:pPr>
              <w:spacing w:after="0"/>
              <w:rPr>
                <w:sz w:val="17"/>
                <w:szCs w:val="17"/>
                <w:color w:val="auto"/>
              </w:rPr>
            </w:pPr>
          </w:p>
        </w:tc>
        <w:tc>
          <w:tcPr>
            <w:tcW w:w="20" w:type="dxa"/>
            <w:vAlign w:val="bottom"/>
            <w:tcBorders>
              <w:bottom w:val="single" w:sz="8" w:color="auto"/>
            </w:tcBorders>
            <w:vMerge w:val="continue"/>
            <w:shd w:val="clear" w:color="auto" w:fill="000000"/>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 for the years ended December 31, 2023 and 2022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during the period consisted of the following (in thousands):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income and expense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187"/>
        </w:trPr>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21"/>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20" w:type="dxa"/>
            <w:vAlign w:val="bottom"/>
          </w:tcPr>
          <w:p>
            <w:pPr>
              <w:spacing w:after="0"/>
              <w:rPr>
                <w:sz w:val="18"/>
                <w:szCs w:val="18"/>
                <w:color w:val="auto"/>
              </w:rPr>
            </w:pPr>
          </w:p>
        </w:tc>
        <w:tc>
          <w:tcPr>
            <w:tcW w:w="106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1280" w:type="dxa"/>
            <w:vAlign w:val="bottom"/>
            <w:tcBorders>
              <w:right w:val="single" w:sz="8" w:color="auto"/>
            </w:tcBorders>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1180" w:type="dxa"/>
            <w:vAlign w:val="bottom"/>
            <w:gridSpan w:val="4"/>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(49,238)</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83"/>
              </w:rPr>
              <w:t>(4,380)</w:t>
            </w:r>
          </w:p>
        </w:tc>
        <w:tc>
          <w:tcPr>
            <w:tcW w:w="2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(29,175)</w:t>
            </w:r>
          </w:p>
        </w:tc>
        <w:tc>
          <w:tcPr>
            <w:tcW w:w="60" w:type="dxa"/>
            <w:vAlign w:val="bottom"/>
            <w:gridSpan w:val="2"/>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40,813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10,133</w:t>
            </w:r>
          </w:p>
        </w:tc>
        <w:tc>
          <w:tcPr>
            <w:tcW w:w="40" w:type="dxa"/>
            <w:vAlign w:val="bottom"/>
          </w:tcPr>
          <w:p>
            <w:pPr>
              <w:spacing w:after="0"/>
              <w:rPr>
                <w:sz w:val="18"/>
                <w:szCs w:val="18"/>
                <w:color w:val="auto"/>
              </w:rPr>
            </w:pPr>
          </w:p>
        </w:tc>
      </w:tr>
      <w:tr>
        <w:trPr>
          <w:trHeight w:val="248"/>
        </w:trPr>
        <w:tc>
          <w:tcPr>
            <w:tcW w:w="100" w:type="dxa"/>
            <w:vAlign w:val="bottom"/>
          </w:tcPr>
          <w:p>
            <w:pPr>
              <w:spacing w:after="0"/>
              <w:rPr>
                <w:sz w:val="21"/>
                <w:szCs w:val="21"/>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21"/>
                <w:szCs w:val="21"/>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4"/>
              </w:rPr>
              <w:t>(5,144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(18,895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-608330</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-325120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769"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non-cash expenses were approximately $40,813 thousand, $1,200 thousand, and $10,133 thousand for the period from March 15, 2023 to December 31, 2023 (Successor), period from January 1, 2023 to March 14, 2023 (Predecessor), and year ended December 31, 2022 (Predecessor),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187"/>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7320" w:type="dxa"/>
            <w:vAlign w:val="bottom"/>
          </w:tcPr>
          <w:p>
            <w:pPr>
              <w:spacing w:after="0"/>
              <w:rPr>
                <w:sz w:val="18"/>
                <w:szCs w:val="18"/>
                <w:color w:val="auto"/>
              </w:rPr>
            </w:pPr>
          </w:p>
        </w:tc>
        <w:tc>
          <w:tcPr>
            <w:tcW w:w="12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or loss on change in fair value of derivative liability</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note</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payment expense</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non-cash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40,813</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cash used in the change in operating assets and liabilities were approximately $4,341 thousand and $1,964 thousand for the period from March 15, 2023 to December 31, 2023 (Successor) and January 1, 2023 to March 14, 2023 (Predecessor), respectively. The net cash provided by change in operating assets and liabilities for the year ended December 31, 2022 (Predecessor) is approximately $147 thousand: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21"/>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right w:val="single" w:sz="8" w:color="auto"/>
            </w:tcBorders>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and other receivables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and other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liabilities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the changes in operating assets and liabilities</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40" w:type="dxa"/>
            <w:vAlign w:val="bottom"/>
            <w:tcBorders>
              <w:top w:val="single" w:sz="8" w:color="CCEEFF"/>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8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for the years ended December 31, 2023 and December 31, 2022</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flows provided by investing activities during the period from March 15, 2023 to December 31, 2023 (Successor) was approximately $9,946 thousand compared to net cash flows used in investing activities for the period from January 1, 2023 to March 14, 2023 (Predecessor) and during the year ended December 31, 2022 (Predecessor) of approximately $54 thousand and $482 thousand, respectively. Cash flows related to investing activities during the period from March 15, 2023 to December 31, 2023 (Successor) include $57 thousand for the purchase of property and equipment, and $10,003 thousand for cash acquired in connection with the Business Combination. Cash flows related to investing activities during the period from January 1, 2023 to March 14, 2023 (Predecessor) include $9 thousand for the purchase of property and equipment, and $45 thousand for the investment in capitalized software. Cash flows related to investing activities during the year ended December 31, 2022 (Predecessor) include $88 thousand for the purchase of property and equipment, and $394 thousand for investment in capitalized software.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for the years ended December 31, 2023 and December 31, 2022</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flows provided by financing activities during period from March 15, 2023 to December 31, 2023 (Successor) was $7,620 thousand compared to net cash flows provided by financing activities for the period from January 1, 2023 to March 14, 2023 (Predecessor) and during the year ended December 31, 2022 (Predecessor) of approximately $8,892 thousand and $20,728 thousand, respectively. During the period from March 15, 2023 to December 31, 2023 (Successor), the Company paid $328 thousand in cash outflows from a repayment of a related party promissory note, received $3,000 thousand from the issuance of a promissory note, received $5,002 thousand of cash proceeds for exercise of 435 public warrants and paid $54 thousand of issuance cost. During the period from January 1, 2023 to March 14, 2023 (Predecessor), the Company received $9,089 thousand in incoming cash flows from parent, and paid $197 thousand in cash outflows from a payment of an acquisition liability. During the year ended December 31, 2022 (Predecessor), the Company received $25,967 thousand in incoming cash flows from parent, and paid $104 thousand and $5,135 thousand in cash outflows from taxes paid related to share based compensation and from a payment of an acquisition liability,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guarantees, interest rate swap transactions or foreign currency contracts. We do not engage in trading activities involving non-exchange traded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Contractual obligations are cash that we are obligated to pay as part of certain contracts that we have entered during our course of business. Our contractual obligations consist of operating lease liabilities and acquisition liabilities that are included in our balance sheet. As of December 31, 2023, the total obligation for operating leases is approximately $505 thousand, of which approximately $275 thousand is expected to be paid in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Obligations and Requirements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May 15, 2024, the Company owed approximately $3,885 thousand in principal and accrued interest payable of $165 thousand payable within the next nine months. The interest rate is 10%. See Note 10 of the Notes to Consolidated Financial Statements.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during the period March 15, 2023 to December 31, 2023 (Successor) of $12,766 thousand consists of net loss of $49,238 thousand offset by non-cash adjustments of approximately $40,813 thousand less net cash changes in operating assets and liabilities of approximately $4,341 thousand. Although the Company has sustained significant losses during the period March 15, 2023 to December 31, 2023 (Successor), we raised net proceeds of approximately $5,002 thousand and $3,000 thousand from the warrant exchange transaction and from issuance of promissory note, respectively. We also entered into an equity line financing agreement on May 22, 2024 for up to $10,000 thousand, with an initial draw of $2,500 thousand in the second quarter of 2024. Given our current cash balances and budgeted cash flow requirements, the Company believes such funds are sufficient to satisfy its working capital needs, capital asset purchases, debt repayments and other liquidity requirements associated with its existing operations for the next 12 months from the issuance date of the financial statements. The Company may continue to pursue strategic transactions and may raise additional capital as needed, using our equity securities and/or cash and debt financings in combinations appropriate for each acquisition.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of the consolidated financial statements that are included elsewhere in this filing. We believe that the following accounting estimates are the most critical to aid in fully understanding and evaluating our reported financial results, and they require our most difficult, subjective or complex judgments, resulting from the need to make estimates about the effect of matters that are inherently uncertain. There have been no changes to estimates during the periods presented in the filing. Historically changes in management estimates have not been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control is transferred of the promised products or services to its customers, in an amount that reflects the consideration the Company expects to be entitled to in exchange for those products or services. The Company derives revenue from its software as a service for cloud-based software, as well as design, implementation and other professional services for work performed in conjunction with its cloud based software. The Company enters into contracts with its customers whereby it grants a non-exclusive cloud-based license for the use of its proprietary software and for professional services. The contracts may also provide for on-going services for a specified price, which may include maintenance services, designated support, and enhancements, upgrades and improvements to the software, depending on the contract. Licenses for cloud software provide the customer with a right to use the software as it exists when made available to the customer. All software provides customers with the same functionality and differs mainly in the duration over which the customer benefits from the software.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 Subscription Revenue Recognition (Software As A Service)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related to the licensing revenue stream is dependent on whether the software licensing agreement entered into represents a service. Software that relies on an entity’s IP and is delivered only through a hosting arrangement, where the customer cannot take possession of the software, is a service. Customers may purchase perpetual licenses or subscribe to licenses, which provide customers with the same functionality and differ mainly in the duration over which the customer benefits from the software.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revenue evenly over the service period using a time-based measure because the Company is providing continuous access to its service. The Company’s customers generally pay within 30 to 60 days from the receipt of a customer approved invoice.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Professional Services Revenue Recognition</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Professional services under milestone contracts are accounted for using the percentage of completion method. As soon as the outcome of a contract can be estimated reliably, contract revenue is recognized in the statement of operations in proportion to the stage of completion of the contract. Contract costs are expensed as incurred. Contract costs include all amounts that relate directly to the specific contract, are attributable to contract activity, and are specifically chargeable to the customer under the terms of the contract.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Goodwill, Acquired Intangible Assets and Other Long-Lived Assets — Impairment Assessments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Long-lived assets are grouped for recognition and measurement of impairment at the lowest level for which identifiable cash flows are largely independent of the cash flows of other assets. The impairment test for long-lived assets requires us to assess the recoverability of our long-lived assets by comparing their net carrying value to the sum of undiscounted estimated future cash flows directly associated with and arising from our use and eventual disposition of the assets. If the net carrying value of a group of long-lived assets exceeds the sum of related undiscounted estimated future cash flows, we would be required to record an impairment charge equal to the excess, if any, of net carrying value over fair value.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assessing the recoverability of our long-lived assets, which include property and equipment and finite-lived intangible assets, we make assumptions regarding estimated future cash flows and other factors. Some of these assumptions involve a high degree of judgment and bear a significant impact on the assessment conclusions. Included among these assumptions are estimating undiscounted future cash flows, including the projection of comparable sales, operating expenses, capital requirements for maintaining property and equipment and residual value of asset groups. We formulate estimates from historical experience and assumptions of future performance, based on business plans and forecasts, recent economic and business trends, and competitive conditions. In the event that our estimates or related assumptions change in the future, we may be required to record an impairment charge. Based on our evaluation we did not record a charge for impairment related to long-lived assets for the period ended March 15, 2023 to December 31, 2023 (Successor), for the period ended January 1, 2023 to March 14, 2023 (Predecessor) and for the year ended December 31, 2022 (Predecessor).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evaluate the remaining useful lives of long-lived assets and identifiable intangible assets whenever events or circumstances indicate that a revision to the remaining period of amortization is warranted. Such events or circumstances may include (but are not limited to): the effects of obsolescence, demand, competition, and/or other economic factors including the stability of the industry in which we operate, known technological advances, legislative actions, or changes in the regulatory environment. If the estimated remaining useful lives change, the remaining carrying amount of the long-lived assets and identifiable intangible assets would be amortized prospectively over that revised remaining useful life. We have determined that there were no events or circumstances during the period ended March 14, 2023 (Predecessor), for the period ended March 15, 2023 to December 31, 2023 (Successor), and the year ended December 31, 2022 (Predecessor), which would indicate a revision to the remaining amortization period related to any of our long-lived assets. Accordingly, we believe that the current estimated useful lives of long-lived assets reflect the period over which they are expected to contribute to future cash flows and are therefore deemed appropriate.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recorded goodwill and other indefinite-lived assets in connection with the Business Combination. Goodwill, which represents the excess of acquisition cost over the fair value of the net tangible and intangible assets of the acquired company, is not amortized. Indefinite-lived intangible assets are stated at fair value as of the date acquired in a business combination. The recoverability of goodwill is evaluated at least annually and when events or changes in circumstances indicate that the carrying amount may not be recoverable.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analyzed goodwill first to assess qualitative factors, such as macroeconomic conditions, changes in the business environment and reporting unit specific events, to determine whether it is more likely than not that the fair value of a reporting unit is less than its carrying amount as a basis for determining whether it is necessary to perform a detailed goodwill impairment test as required. The more-likely-than-not threshold is defined as having a likelihood of more than 50%. If we bypass the qualitative assessment or conclude that it is more likely than not that the fair value of a reporting unit is less than its carrying value, then we perform a quantitative impairment test by comparing the fair value of a reporting unit with its carrying amount. We calculate the estimated fair value of a reporting unit using a weighting of the income and market approaches. For the income approach, we use internally developed discounted cash flow models that include the following assumptions, among others made by management: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its historical data and experience, third party appraisals, industry projections, micro and macro general economic condition projections, and its expectations. Due to the variables inherent in our estimates of fair value, differences in assumptions may have a material effect on the result of our impairment analysis.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its assessments, the Company has recorded impairment of goodwill of $36,056 thousand for the period from March 15, 2023 to December 31, 2023 (Successor) and $5,540 thousand for the year 2022 (Predecessor).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ASC 740 “Income Taxes” (“ASC 740”), management routinely evaluates the likelihood of the realization of its income tax benefits and the recognition of its deferred tax assets. In evaluating the need for any valuation allowance, management will assess whether it is more likely than not that some portion, or all, of the deferred tax asset may not be realized on a jurisdictional basis. Ultimately, the realization of deferred tax assets is dependent upon the generation of future taxable income during those periods in which temporary differences become deductible and/or tax credits and tax loss carry-forwards can be utilized. In performing its analyses, management considers both positive and negative evidence including historical financial performance, previous earnings patterns, future earnings forecasts, tax planning strategies, economic and business trends and the potential realization of net operating loss carry-forwards within a reasonable timeframe. To this end, management considered (i) that we have had historical losses in the prior years and cannot anticipate generating a sufficient level of future profits in order to realize the benefits of our deferred tax asset; (ii) tax planning strategies and</w:t>
      </w:r>
    </w:p>
    <w:p>
      <w:pPr>
        <w:spacing w:after="0" w:line="1" w:lineRule="exact"/>
        <w:rPr>
          <w:sz w:val="20"/>
          <w:szCs w:val="20"/>
          <w:color w:val="auto"/>
        </w:rPr>
      </w:pPr>
    </w:p>
    <w:p>
      <w:pPr>
        <w:jc w:val="both"/>
        <w:ind w:firstLine="8"/>
        <w:spacing w:after="0" w:line="253"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future income as of and for the three months ended December 31, 2023 (Successor), based upon certain economic conditions and historical losses through December 31, 2023. After consideration of these factors, management deemed it appropriate to establish a full valuation allowance with respect to the deferred tax assets for the Company as of December 31, 2023 (Successor) and December 31, 2022 (Predecessor), and no liability for unrecognized tax benefits was required to be reported.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guidance also discusses the classification of related interest and penalties on income taxes. The Company’s policy is to record interest and penalties on uncertain tax positions as a component of income tax expense. No interest or penalties were recorded during the three months ended December 31, 2023 (Successor), the period from March 15, 2023 to December 31, 2023 (Successor), the period ended March 14, 2023 (Predecessor), the three months ended December 31, 2022 (Predecessor) or the year ended December 31, 2022 (Predecessor).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and accordingly, the assets and liabilities of the acquired business are recorded at their fair values at the date of acquisition. The excess of the purchase price over the estimated fair value is recorded as goodwill. Any changes in the estimated fair values of the net assets recorded for acquisitions prior to the finalization of more detailed analysis, but not to exceed one year from the date of acquisition, will change the amount of the purchase price allocable to goodwill. Any subsequent changes to any purchase price allocations that are material to our combined financial results will be adjusted. All acquisition costs are expensed as incurred and in-process research and development costs are recorded at fair value as an indefinite-lived intangible asset and assessed for impairment thereafter until completion, at which point the asset is amortized over its expected useful life. Separately recognized transactions associated with business combinations are generally expensed subsequent to the acquisition date. The application of business combination and impairment accounting requires the use of significant estimates and assumptions.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acquisition, the accounts and results of operations are combined as of and subsequent to the acquisition date and are included in our Combined Financial Statements from the acquisition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transaction, CXApp will be an “emerging growth company” as defined in the JOBS Act. As such, the Company will be eligible to take advantage of certain exemptions from various reporting requirements that apply to other public companies that are not emerging growth companies, including compliance with the auditor attestation requirements of Section 404 of the Sarbanes-Oxley Act and the requirements to hold a non-binding advisory vote on executive compensation and any golden parachute payments not previously approved. The Company has not made a decision whether to take advantage of any or all of these exemptions. If the Company does take advantage of some or all of these exemptions, some investors may find the Company’s common stock less attractive. The result may be a less active trading market for the Company’s common stock and its stock price may be more volatile.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may take advantage of the extended transition period provided in Section 13(a) of the Securities Exchange Act of 1934, as amended (the “Exchange Act”), for complying with new or revised accounting standards, meaning that CXApp, as an emerging growth company, can delay the adoption of certain accounting standards until those standards would otherwise apply to private companies. The Company has elected to take advantage of this extended transition period, and therefore our financial statements may not be comparable to those of companies that comply with such new or revised accounting standards. Section 107 of the JOBS Act provides that our decision not to opt out of the extended transition period for complying with new or revised accounting standards is irrevocable.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b w:val="1"/>
          <w:bCs w:val="1"/>
          <w:color w:val="auto"/>
        </w:rPr>
        <w:t>Item 7A. Quantitative and Qualitative Disclosure About Market Risk.</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Consolidated Financial Statements and Supplementary Data.</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information appears following Item 15 of this Report and is included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Changes in and Disagreements with Accountants on Accounting and Financial Disclosure.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9A.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2023. Based upon their evaluation, our Chief Executive Officer and Chief Financial Officer concluded that our disclosure controls and procedures (as defined in Rules 13a-15I and 15d-15(e) under the Exchange Act) were not effective because of the material weakness in internal control over financial reporting described below. After giving full consideration to the material weaknesses identified and additional analysis performed to ensure our consolidated financial statements included in this Form 10-K were prepared in accordance with U.S. GAAP, the Management has concluded that the material weakness did not result in a material misstatement in our annual or interim consolidated financial statements and our consolidated financial statements present fairly, in all material respects, our financial position, results of operations, and cash flows for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and Remediation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2023, we identified a material weakness in the design and operating effectiveness of controls primarily associated with the Company’s valuation and goodwill impairment testing. The material weakness we identified associated with the valuation process arises primarily from a lack of focus on detailed analysis and enhanced documentation procedures.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the oversight of the Management and our Audit Committee, we have initiated steps to address the material weakness. In the second quarter of 2024, the Management hired a third-party valuator with the requisite skills and expertise on goodwill impairment testing.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2024, the Management plans to hire qualified personnel to oversee technical accounting matters. Further, the Company intends to add additional and more robust management review controls to provide more focus on detailed analysis and enhanced documentation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Controls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80" w:lineRule="exact"/>
        <w:rPr>
          <w:sz w:val="20"/>
          <w:szCs w:val="20"/>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7" w:name="page58"/>
    <w:bookmarkEnd w:id="57"/>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GAAP, and that our receipts and expenditures are being made only in accordance with authorizations of our management and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2023. In making these assessments, management used the criteria set forth by the Committee of Sponsoring Organizations of the Treadway Commission (COSO) in Internal Control — Integrated Framework (2013). Based on our assessments and those criteria, management determined that we did not maintain effective internal control over financial reporting as of December 31, 2023 for the reasons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most recent fiscal quarter that have materially affected, or are reasonably likely to materially affect, our internal control over financial reporting other than the material weakness noted above and the ongoing remediation measures that the Company is implementing in response to the material weakness.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9B. Other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CXApp notified CXApp of the adoption or termination of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22, 2024, CXApp entered into a Securities Purchase Agreement (the “Securities Purchase Agreement”) with Streeterville Capital, LLC (the “Investor”), pursuant to which CXApp agreed to issue and sell to the Investor (i) one or more pre-paid purchases in the aggregate purchase amount of up to $10,000 thousand for the purchase of Common Stock and (ii) 40 thousand Common Shares.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initial pre-paid purchase, the Investor paid $2,500 thousand to CXApp, and in exchange, CXApp agreed to pay $2,625 thousand (including any interest, fees, charges and late fees accrued) and to pay interest on the outstanding balance at the rate of five percent (5%) per annum. The initial pre-paid purchase amount includes an original issue discount of $125 thousand and an additional $20 thousand to cover the Investor’s legal fees, accounting costs, due diligence, monitoring and other transaction expenses. The investor has the right, but not the obligation, to purchase from CXApp Common Stock not exceeding (i) the outstanding balance and (ii) 9.99% beneficial ownership of the outstanding Common Stock, at a price equal to the lower of (i) $3.996 or (ii) 91% of the lowest daily VWAP during the ten consecutive trading days immediately prior to the purchase notice date, but not lower than $0.666.</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May 22, 2024, until the earlier of (i) May 22, 2027 or (ii) when CXApp has sold $10,000 thousand in pre-paid purchases, CXApp may request additional pre-paid purchases in amounts that are (i) less than $2,500 thousand less the outstanding pre-paid purchase balance and (ii) greater than $250 thousand. Future pre-paid purchases will include an original issue discount of 5%, with no additional transaction expense amounts. The investor also has the right, but not the obligation, to purchase from CXApp Common Stock not exceeding (i) the outstanding balance and (ii) 9.99% beneficial ownership of the outstanding Common Stock, at the price equal to the lower of (i) one hundred twenty percent (120%) of the lower of (a) the closing trade price, or (b) the average closing trade price of five (5) trading days, immediately preceding the pre-paid purchase date or (ii) 91% of the lowest daily VWAP during the ten consecutive trading days immediately prior to the purchase notice date, but not lower than (a) twenty percent (20%) of the lower of the closing trade price, or (b) average closing trade price of 5 trading days, immediately preceding the pre-paid purchase date. Except as described above, terms of such additional pre-paid purchases will be substantially the same as the initial pre-paid purchase.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purchase agreement has customary representations, warranties, covenants and indemnifications of CXApp and Investor.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Securities Purchase Agreement does not purport to be complete and is qualified in its entirety by the full text of the Securities Purchase Agreement, a copy of which is attached hereto as Exhibit 10.8 and is incorporated herein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9C. Disclosure Regarding Foreign Jurisdictions that Prevent Inspection.</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Directors, Executive Officers and Corporate Governance.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Our officers and directors are as follows: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45"/>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Sheikh</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Di-Ann Eisnor</w:t>
            </w:r>
          </w:p>
        </w:tc>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7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Mathai</w:t>
            </w:r>
          </w:p>
        </w:tc>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Shanti Priya</w:t>
            </w:r>
          </w:p>
        </w:tc>
        <w:tc>
          <w:tcPr>
            <w:tcW w:w="7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Khurram Sheikh </w:t>
      </w:r>
      <w:r>
        <w:rPr>
          <w:rFonts w:ascii="Times New Roman" w:cs="Times New Roman" w:eastAsia="Times New Roman" w:hAnsi="Times New Roman"/>
          <w:sz w:val="18"/>
          <w:szCs w:val="18"/>
          <w:color w:val="auto"/>
        </w:rPr>
        <w:t>has served as the Founder, Chairman and Chief Executive Officer of KINS since its inception and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August 2020. Mr. Sheikh has been at the forefront of innovation in the technology, mobile, semiconductor, telecom and media industries for the past 25 years with CEO and CTO roles at leading technology companies. Since March 2020, Mr. Sheikh has been the Founder, Executive Chairman &amp; CEO of Aijaad, a boutique strategic advisory firm where he advises both large private equity firms as well as boards of public companies on the future of 5G, IoT, Edge Computing and AI technologies and is actively involved in M&amp;A, technology strategy and market development. From 2016 to early 2020, Mr. Sheikh was the CEO of kwikbit, a private company building a “network as a service” solution using gigabit radios, edge compute, virtualization, and artificial intelligence. Prior to kwikbit, in 2014, Mr. Sheikh was appointed as the Chief Strategy and Technology Officer for Silicon Image (SIMG) and the President/CEO of its millimeter wave/5G subsidiary SiBEAM. SIMG was acquired by Lattice Semiconductor (Nasdaq:LSCC) in 2015 for $600 million after which Mr. Sheikh was appointed the Chief Strategy and Technology Officer of the combined company responsible for corporate strategy, roadmap, M&amp;A and technology development and was there until 2016. From 2007 onwards, he was the CTO for Powerwave Technologies, a large wireless infrastructure vendor. Powerwave filed for Chapter 11 bankruptcy protection in January 2013, and in April 2013 Mr. Sheikh was appointed as the CEO of Powerwave to help with the sale of the company. Later that year, Mr. Sheikh successfully facilitated the sale of approximately 1,400 patents owned by Powerwave to private equity firm Gores Group. From 2005 to 2007, Mr. Sheikh was Vice President, Wireless Strategy and Development at Time Warner Cable leading the cable company’s entry into the wireless space. From 1996 to 2005, Mr. Sheikh held senior technology roles at Sprint including CTO Mobile Broadband responsible for deploying the world’s first 4G system and acquisition of multi-billion dollar spectrum assets at 2.5GHz. Mr. Sheikh holds a Bachelor of Science degree in Electrical Engineering with highest honors from the University of Engineering &amp; Technology in Pakistan, as well as a Master of Science degree in Electrical Engineering from Stanford University. Mr. Sheikh is well qualified to serve as Chairman of our board because of his extensive experience advising boards of directors of public and private companies and his extensive professional experience.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Di-Ann Eisnor </w:t>
      </w:r>
      <w:r>
        <w:rPr>
          <w:rFonts w:ascii="Times New Roman" w:cs="Times New Roman" w:eastAsia="Times New Roman" w:hAnsi="Times New Roman"/>
          <w:sz w:val="18"/>
          <w:szCs w:val="18"/>
          <w:color w:val="auto"/>
        </w:rPr>
        <w:t>has served as a member of our board of directors since August 2020. Since November 2019, Ms. Eisnor has served as Co-Founder and CEO of Core, a venture-backed construction labor marketplace. Before that, from February 2019 until October 2019, she was an executive of The We Company, a part of the We Work Companies, where she was responsible for development of their cities platform. Prior to that, Ms. Eisnor served as Director of Urban Systems at Google, from June 2018 until February 2019. Previously, Ms. Eisnor was with Waze, Inc., a crowd-sourced navigation and real-time traffic application owned by Alphabet, Inc., for 10 years, most recently serving as the VP Platform and Director of Growth. Prior to joining Waze, Ms. Eisnor was co-founder and Chief Executive Officer of Platial Inc., a collaborative, user-generated cartographic website. Ms. Eisnor currently serves on the board of Saia Inc. (Nasdaq: SAIA) and Gray Area Foundation for the Arts. She is a venture partner at Obvious Ventures and is co-founder with Lupe Fiasco of Neighborhood Start Fund, a neighborhood-based micro-fund in underserved urban neighborhoods. She holds a Bachelor’s Degree in Studio Art and Business Administration from New York University. She is a 2014 Henry Crown Fellow of the Aspen Institute and a member of the Aspen Global Leadership Network. Ms. Eisnor is well qualified to serve on our board because of her extensive experience advising boards of directors of public and private companies and her extensive professional experience.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Camillo Martino </w:t>
      </w:r>
      <w:r>
        <w:rPr>
          <w:rFonts w:ascii="Times New Roman" w:cs="Times New Roman" w:eastAsia="Times New Roman" w:hAnsi="Times New Roman"/>
          <w:sz w:val="18"/>
          <w:szCs w:val="18"/>
          <w:color w:val="auto"/>
        </w:rPr>
        <w:t>has served as a member of our Board of Directors since August 2020. Mr. Martino was a senior global semiconductor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executive and now serves as a board member and executive advisor to many global technology companies. Prior to his current board roles, Mr. Martino was a chief executive officer and C-suite executive of a number of high technology companies worldwide. He is currently Chair of the Board of Directors of Magnachip Semiconductor (NYSE: MX) and has served on this Board since August 2016. Since 2018, he has also served on the Board of Directors at Sensera (ASX: SE1). Mr. Martino also serves on the Board of Directors at multiple privately-held companies, including VVDN Technologies (fastest growing ODM based in India with a focus on Wireless, Networking &amp; IoT) and Sakuu Corporation (multi-material, multi-process Additive Manufacturing platform). Mr. Martino’s prior board service includes serving on the boards of Cypress Semiconductor from June 2017 through the sale of the company to Infineon in April 2020 and Moschip Technologies (BOM: 532407) from April 2017 to May 2019. As an operating executive, Mr. Martino served as Chief Executive Officer of Silicon Image, Inc. (where he also served as a director) from 2010 until the completion of its sale to Lattice Semiconductor Corporation (Nasdaq: LSCC) in March 2015, Chief Operating Officer of SAI Technology Inc. from January 2008 to December 2009 (where he also served as director from 2006 to 2010), and Chief Executive Officer of Cornice Inc. from 2005 to 2007 (where he also served as a director). From August 2001 to July 2005, Mr. Martino served as the executive vice president and chief operating officer at Zoran Corporation, a global SoC semiconductor company. Prior to that, Mr. Martino held multiple positions with National Semiconductor Corporation for a total of nearly 14 years. Mr. Martino holds a Bachelor of Applied Science from the University of Melbourne and a Graduate Diploma (in Digital Communications) from Monash University in Australia. Mr. Martino is well qualified to serve on our board because of his extensive experience advising boards of directors of public and private companies and his extensive professional experience.</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George Mathai </w:t>
      </w:r>
      <w:r>
        <w:rPr>
          <w:rFonts w:ascii="Times New Roman" w:cs="Times New Roman" w:eastAsia="Times New Roman" w:hAnsi="Times New Roman"/>
          <w:sz w:val="18"/>
          <w:szCs w:val="18"/>
          <w:color w:val="auto"/>
        </w:rPr>
        <w:t>has enjoyed decades working, consulting, and investing in early stage and small businesses at the crossroads of distinct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multiple industries and novel markets. A technically trained business professional, his early experience in bridge design and infrastructure repair was at Edwards &amp; Kelcey in New York, now Jacobs Engineering. In January 1993, Mr. Mathai transitioned to managing renovations projects and gaining strong communications and project execution skills, while driving revenue and profitability, at a small New York construction company. As a founder, he later parlayed his prior management and technical expertise in leading the biosensor development program at GenoRx in June 2000, an early stage, venture-backed concern in Hayward, California. His team accomplished a manufacturable process for detecting DNA electronically on a silicon biochip with the eventual sale of the technology to Bridger Technologies in April 2011. Thereafter, Mr. Mathai helped raise financing for an innovative antibiotic skin care start-up and worked to fundraise for an early-stage immune-mediated cancer therapeutic while at a boutique brokerage firm Objective Equity LLC. Overlapping these endeavors, were local business interests in retail, as well as due diligence consulting for mergers and acquisitions. The above broad and varied interests are also reflected in his educational history which includes bachelors and masters in civil engineering from University of California, Berkeley (May 1989) and City College of New York (June 1992), respectively, as well as, most recently upskilling at CalTech’s cybersecurity program (December 2020). Mr. Mathai’s extensive experience in several diverse industries, markets and customer types will bring a unique and inestimable resource to the board.</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Shanti Priya </w:t>
      </w:r>
      <w:r>
        <w:rPr>
          <w:rFonts w:ascii="Times New Roman" w:cs="Times New Roman" w:eastAsia="Times New Roman" w:hAnsi="Times New Roman"/>
          <w:sz w:val="18"/>
          <w:szCs w:val="18"/>
          <w:color w:val="auto"/>
        </w:rPr>
        <w:t>has been the CFO of Maxfield Enterprises, Inc., a luxury retail company based in Los Angeles and has been leading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organization’s finance and operations since February 2018. Prior to that, Ms. Priya worked for over 12 years in corporate finance at Gap Inc. with her last role at the company as the Global Director of FP&amp;A and Control overseeing the North American, European, and Asian markets. Before transitioning into a career in finance, Ms. Priya worked as a Producer managing content creation at a tech start-up, Knowledge Kids Network, an online educational media site. She holds a Bachelor of Arts in Honors English Literature with a minor in Biology from Scripps College.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she holds a Master of Arts in Print Journalism and a Master of Business Administration both from the University of Southern California. Ms. Priya also serves on the board and as treasurer of Secular Student Alliance, a non-profit organization that educates high school and college students regarding secularism and scientific reasoning. She has previously served on the board of Sequoyah School, a non-profit private school serving the ages from K-8. Ms. Priya is well qualified to serve on our board of directors because of her substantial financial and operations experience.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Family Relationships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executive officers.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consists of five (5) members. Our directors, other than Mr. Sheikh, are independent directors in accordance with the listing requirements of Nasdaq. The Nasdaq independence definition includes a series of objective tests, including that the director is not, and has not been for at least three years, one of our employees and that neither the director nor any of his, her or their family members has engaged in various types of business dealings with us. There are no family relationships among any of our directors or executive officers.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with staggered, three-year terms, in accordance with the terms of the Charter. At each annual meeting of stockholders, the directors whose terms then expire will be eligible for reelection until the third annual meeting following reelection. The directors are divided among the three classes as follows:</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Di-Ann Eisnor, and her term will expire at our first annual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Camillo Martino and Shanti Priya, and their terms will expire at our second annual meeting of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Khurram P. Sheikh and George Mathai, and their terms will expire at our third annual meeting of stockholders.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Charter provides that the authorized number of directors may be changed only by resolution of our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board or a change in control of us. Our directors may be removed only for cause by the affirmative vote of the holders of at least two-thirds of our outstanding voting stock then entitled to vote in an election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does not anticipate implementing a policy requiring the positions of the Chairman of the Board and Chief Executive Officer to be separate or held by the same individual. Any further determination to create such a policy is expected to be based on circumstances existing from time to time, based on criteria that are in our best interests and the best interests of our stockholders, including the composition, skills and experience of our board and its members, specific challenges faced by us or the industry in which it operates, and governance efficiency. We elected Mr. Sheikh as Chairman of the Board because of Mr. Sheikh’s strategic vision for the business, his in depth knowledge of our operations, and his experience in capital markets make him well qualified to serve as both Chairman of the board and Chief Executive Officer. Combining the roles of Chairman and Chief Executive Officer will help provide strong and consistent leadership for the management team and our board. However, our board may decide in the future to separate the roles of Chairman and Chief Executive Officers if it determines that such structure provides better and more effective oversight and management. If our board convenes for a meeting, it is expected that the non-management directors will meet in one or more executive sessions, if the circumstances warrant it. Our board may also consider appointing a lead independent director if the circumstances warrant 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Committees of the Board of Directors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compensation committee and a nominating and corporate governance.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Role of Board in Risk Oversight Process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has responsibility for the oversight of our risk management processes and, either as a whole or through its committees, will regularly discuss with management our major risk exposures, their potential impact on our business and the steps we take to manage them. The risk oversight process will include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 taking. The nominating and corporate governance committee manages risks associated with the independence of our board, corporate disclosure practices and potential conflicts of interest. While each committee is responsible for evaluating certain risks and overseeing the management of such risks, the entire board will be regularly informed through committee reports about such risks. Matters of significant strategic risk will be considered by our board as a whole.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committee’s main function is to oversee our accounting and financial reporting processes and the audits of our financial statements. This committee’s responsibilities are set forth in a charter that include, among other things:</w:t>
      </w:r>
    </w:p>
    <w:p>
      <w:pPr>
        <w:spacing w:after="0" w:line="162" w:lineRule="exact"/>
        <w:rPr>
          <w:sz w:val="20"/>
          <w:szCs w:val="20"/>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replacement, and oversight of the work of the independent auditors and any other independent registered public accounting firm engaged by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permitted non-audit services to be provided by the independent auditors or any other registered public accounting firm engaged by us, and establishing pre-approval policies and procedures;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independent auditors all relationships the auditors have with us in order to evaluate their continued independence;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the independent auditors;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at least annually, from the independent auditors describing (i) the independent auditor’s internal quality-control procedures and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our annual audited financial statements and quarterly financial statements with management and the independent auditor;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2" w:name="page63"/>
    <w:bookmarkEnd w:id="62"/>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 required to be disclosed pursuant to Item 404 of Regulation S-K promulgated by the SEC prior to us entering into such transaction;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Shanti Priya, Camillo Martino and Di-Ann Eisnor. Shanti Priya serves as the chair of the committee. All members of our audit committee are independent directors and meet the requirements for financial literacy under the applicable rules and regulations of the SEC and Nasdaq. Shanti Priya is an “audit committee financial expert” as defined by applicable SEC rules and has the requisite financial sophistication as defined under the applicable Nasdaq listing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committee’s main function is to oversee our policies relating to compensation and benefits of our officers and employees. This committee’s responsibilities are set forth in a charter that include, among other things: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compensation of all of our other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an annual basis our executive compensation policies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Camillo Martino, Di-Ann Eisnor, and George Mathai. Di-Ann Eisnor serves as the chair of the committee. Each of Camillo Martino, Di-Ann Eisnor, and George Mathai is independent under the applicable Nasdaq listing standards and is a “non-employee director” as defined in Rule 16b-3 promulgated under the Exchange Act.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assisting our board in discharging the board of directors’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and any committees thereof. In addition, the nominating and corporate governance committee is responsible for overseeing our corporate governance policies, reporting and making recommendations to our board concerning governance matters and oversight of the evaluation of our board.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Camillo Martino, Di-Ann Eisnor, and Shanti Priya. Camillo Martino serves as the chair of the committee. All members of our nominating and corporate governance committee are independent directors under the applicable Nasdaq listing standards.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member of the compensation committee serves or served during the fiscal year ended December 31, 2023, as a member of our board or compensation committee of a company that has one or more executive officers serving as a member of the board of directors or compensation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Diversity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our board, on an annual basis, the appropriate characteristics, skills and experience required for our board as a whole and its individual members. In evaluating the suitability of individual candidates (both new candidates and current members) for election or appointment, the nominating and corporate governance committee and our board take into account many factors, including the following:</w:t>
      </w:r>
    </w:p>
    <w:p>
      <w:pPr>
        <w:spacing w:after="0" w:line="18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 ethics and values;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publicly-held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or executive officer of another publicly-held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finance experience;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background and perspective, including, but not limited to, with respect to age, gender, race, place of residence and specialized experience;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relevant to our business industry and with relevant social policy concerns;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academic expertise or other proficiency in an area of our business operations.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Nasdaq Board Diversity Matrix</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Board Diversity Matrix presents our board diversity statistics in accordance with Nasdaq Rule 5606, as self-disclosed by the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May 20,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120" w:type="dxa"/>
            <w:vAlign w:val="bottom"/>
            <w:tcBorders>
              <w:top w:val="single" w:sz="8" w:color="auto"/>
            </w:tcBorders>
          </w:tcPr>
          <w:p>
            <w:pPr>
              <w:spacing w:after="0"/>
              <w:rPr>
                <w:sz w:val="19"/>
                <w:szCs w:val="19"/>
                <w:color w:val="auto"/>
              </w:rPr>
            </w:pPr>
          </w:p>
        </w:tc>
      </w:tr>
      <w:tr>
        <w:trPr>
          <w:trHeight w:val="223"/>
        </w:trPr>
        <w:tc>
          <w:tcPr>
            <w:tcW w:w="86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209"/>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its directors, officers and employees, including its principal executive officer, principal financial officer, principal accounting officer or controller, or persons performing similar functions. Our code of business conduct and ethics will be available under the Corporate Governance section of our website at www.cxapp.com. In addition, we intend to post on its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its website, and you should not consider it to be a part of this Annual Report.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CXApp’s executive officers who are named in the “Summary Compensation Table” below. As an emerging growth company, CXApp complies with the executive compensation disclosure rules applicable to “smaller reporting companies,” as such term is defined in the rules promulgated under the Securities Act, which for 2023 require compensation disclosure for CXApp’s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form and amount of the compensation to be paid to each of our directors and executive officers were determined by our board. Each executive officers’ compensation were established by our compensation committee which is comprised solely of independent directors in accordance with Nasdaq listing standards.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disclose compensation received by our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regarding the compensation earned by the named executive officers from their services to CXApp, as applicable, during the fiscal years ended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8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2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P. Sheikh</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5"/>
              </w:rPr>
              <w:t>267,917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 Papkoff</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289,776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359,776</w:t>
            </w: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Product Officer</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the Summary Compensation Table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Khurram P. Sheikh, our chief executive officer, received (i) a salary of $267,917 and a bonus of $97,500 as compensation for his services to CXApp during the fiscal year ended December 31, 2023, and did not receive any compensation for his services during the fiscal year ended December 31, 2022;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Leon Papkoff, former chief product officer, received (i) a salary of $289,776 and a bonus of $70,000 as compensation for his services during the fiscal year ended December 31, 2023; and (ii) a salary of $250,000 and a bonus of $100,000 as compensation for his services to Inpixon during the fiscal year ended December 31, 2022.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as set forth below, there were no outstanding unexercised options, unvested stock, and/or equity incentive plan awards issued to our Named Executive Officers as of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48"/>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vMerge w:val="restart"/>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20" w:type="dxa"/>
            <w:vAlign w:val="bottom"/>
            <w:vMerge w:val="restart"/>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3"/>
        </w:trPr>
        <w:tc>
          <w:tcPr>
            <w:tcW w:w="23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Khurram P. Sheikh</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rPr>
              <w:t>Mar 29, 2023</w:t>
            </w:r>
          </w:p>
        </w:tc>
        <w:tc>
          <w:tcPr>
            <w:tcW w:w="1120" w:type="dxa"/>
            <w:vAlign w:val="bottom"/>
            <w:gridSpan w:val="2"/>
            <w:shd w:val="clear" w:color="auto" w:fill="CCEEFF"/>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Mar 29, 2033</w:t>
            </w:r>
          </w:p>
        </w:tc>
        <w:tc>
          <w:tcPr>
            <w:tcW w:w="11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844,200</w:t>
            </w:r>
          </w:p>
        </w:tc>
        <w:tc>
          <w:tcPr>
            <w:tcW w:w="280" w:type="dxa"/>
            <w:vAlign w:val="bottom"/>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w w:val="85"/>
              </w:rPr>
              <w:t>(1)</w:t>
            </w:r>
          </w:p>
        </w:tc>
        <w:tc>
          <w:tcPr>
            <w:tcW w:w="10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1,291,626</w:t>
            </w:r>
          </w:p>
        </w:tc>
        <w:tc>
          <w:tcPr>
            <w:tcW w:w="11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Aug 14, 2023</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Aug 14, 2033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57,233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350,838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This option vests in two years with 50% of it vesting in the first year of anniversary.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the Closing, Design Reactor entered into a consulting agreement (the “Consulting Agreement”) with 3AM, LLC, a Delaware limited liability (3AM) controlled by Nadir Ali, the current Chief Executive Officer and director of Inpixon, pursuant to which 3AM will provide advisory services in exchange for a one-time payment of $180,000 in consulting fees. The foregoing description is qualified in its entirety by reference to the text of the Consulting Agreement, a copy of which is attached hereto as Exhibit 10.4 and also is incorporated herein by reference.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an employment agreement with Khurram Sheikh serves as our Chief Executive Officer for a term commencing on the consummation of the Business Combination and will continue until terminated by us or the employee or in accordance with the terms of the employment agreement. Mr. Sheikh will be paid an annualized base salary of $325,000, as revised periodically by us, as well as an annual bonus with a target amount of $325,000 for each complete calendar year. The employment agreement contains provisions regarding non-solicitation, confidentiality of information and arbitration of disputes. Mr. Sheikh may terminate his employment by giving advance written notice to us. We may also terminate the employment agreement for cause, as defined in the employment agreement, a copy of which is attached hereto as Exhibit 10.5 and is also incorporated herein by reference.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an employment agreement with Leon Papkoff serves as our Chief Product Officer for a term commencing on the consummation of the Business Combination and will continue until terminated by us or the employee or in accordance with the terms of the employment agreement. Mr. Papkoff will be paid an annualized base salary of $300,000, as revised periodically by us, as well as an annual bonus with a target amount of $150,000 for each complete calendar year. The employment agreement contains provisions regarding non-solicitation, confidentiality of information and arbitration of disputes. Mr. Papkoff may terminate his employment by giving advance written notice to us. We may also terminate the employment agreement for cause, as defined in the employment agreement, a copy of which is attached hereto as Exhibit 10.6 and is also incorporated herein by reference.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special meeting held on March 10, 2023, the KINS stockholders considered and approved, among other things, the CXApp Inc. 2023 Equity Incentive Plan (the “Incentive Plan”). The Incentive Plan was previously approved, subject to stockholder approval, by KINS’ board of directors. The Incentive Plan became effective immediately upon the Closing. Pursuant to the terms of the Incentive Plan, there are 2,110,500 shares of CXApp Class A common stock available for issuance under the Incentive Plan, which is equal to 15% of the aggregate number of shares of CXApp common stock issued and outstanding immediately after the Closing (giving effect to the redemptions). This description is qualified in its entirety by reference to the text of the Incentive Plan, a copy of which is attached hereto as Exhibit 10.7 and also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summary information concerning compensation awarded to, earned by or paid to our Directors in the year ended December 31, 2023 except Khurram Sheikh whose aggregate compensation information has been disclosed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deferred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80"/>
              <w:spacing w:after="0" w:line="184" w:lineRule="exact"/>
              <w:rPr>
                <w:sz w:val="20"/>
                <w:szCs w:val="20"/>
                <w:color w:val="auto"/>
              </w:rPr>
            </w:pPr>
            <w:r>
              <w:rPr>
                <w:rFonts w:ascii="Times New Roman" w:cs="Times New Roman" w:eastAsia="Times New Roman" w:hAnsi="Times New Roman"/>
                <w:sz w:val="18"/>
                <w:szCs w:val="18"/>
                <w:b w:val="1"/>
                <w:bCs w:val="1"/>
                <w:color w:val="auto"/>
              </w:rPr>
              <w:t>or paid</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plan</w:t>
            </w:r>
          </w:p>
        </w:tc>
        <w:tc>
          <w:tcPr>
            <w:tcW w:w="126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6"/>
                <w:szCs w:val="16"/>
                <w:color w:val="auto"/>
              </w:rPr>
            </w:pPr>
          </w:p>
        </w:tc>
        <w:tc>
          <w:tcPr>
            <w:tcW w:w="120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16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3"/>
                <w:szCs w:val="23"/>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center"/>
              <w:ind w:right="30"/>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350,838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375,838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Di-Ann Eisnor</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350,838</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375,838</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Shanti Priya</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350,838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375,838</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Mathai</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350,838</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375,838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 are entitled to reimbursement of ordinary and reasonable expenses incurred in exercising their responsibilities and duties as a director.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7, 2023, the Board approved the following compensation plan for the member of Board of Directors: $25,000 per year for their services rendered on the Board and awarded each director an aggregate of 57 thousand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9" w:lineRule="exact"/>
        <w:rPr>
          <w:sz w:val="20"/>
          <w:szCs w:val="20"/>
          <w:color w:val="auto"/>
        </w:rPr>
      </w:pPr>
    </w:p>
    <w:p>
      <w:pPr>
        <w:jc w:val="center"/>
        <w:ind w:left="5540" w:right="680" w:hanging="5532"/>
        <w:spacing w:after="0" w:line="657" w:lineRule="auto"/>
        <w:tabs>
          <w:tab w:leader="none" w:pos="3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director restricted stock unit granted are valued using the closing price of the Company’s common stock on the date of grant.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May 20, 2024 by the following persons:</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shares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current executive officers and directors as a group.</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indicated in the footnotes to the following table, subject to applicable community property laws, each stockholder named in the table has sole voting and investment power. Shares of common stock subject to options, warrants, or other rights currently exercisable or exercisable within 60 days of March 15, 2024, are deemed to be beneficially owned and outstanding for computing the share ownership and percentage of the stockholder holding the options, warrants or other rights, but are not deemed outstanding for computing the percentage of any other stockholder. The information provided in the following table is based on our records, information filed with the SEC, and information furnished by our stockholders.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nature of</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120" w:type="dxa"/>
            <w:vAlign w:val="bottom"/>
            <w:vMerge w:val="restart"/>
          </w:tcPr>
          <w:p>
            <w:pPr>
              <w:jc w:val="right"/>
              <w:ind w:right="313"/>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5"/>
                <w:szCs w:val="15"/>
                <w:b w:val="1"/>
                <w:bCs w:val="1"/>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owner</w:t>
            </w:r>
          </w:p>
        </w:tc>
        <w:tc>
          <w:tcPr>
            <w:tcW w:w="1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P. Sheikh</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1,764,120</w:t>
            </w: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171,968</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0"/>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 Eisnor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79,120</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Shanti Priya</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Mathai</w:t>
            </w: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directors and executive officers as a group (7 individuals)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2,020,191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w:t>
        <w:tab/>
        <w:t>Represents beneficial ownership of less than 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Based on 15,254,389 shares outstanding as of May 20, 2024.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Inpixon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CXApp and Inpixon operate separately, each as a public company. In connection with the Separation, Legacy CXApp has entered into various agreements to effect the Separation and provide a framework for CXApp’s relationship with Inpixon after the Separation, including the Separation and Distribution Agreement, an Employee Matters Agreement, a Tax Matters Agreement and a Transition Services Agreement. These agreements provide for the allocation between Legacy CXApp and Inpixon of Inpixon’s assets, employees, liabilities and obligations (including its property and employee benefits and tax-related assets and liabilities) attributable to periods prior to, at and after Legacy CXApp’s separation from Inpixon and will govern certain relationships between CXApp and Inpixon after the Separation.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summaries of each of the agreements listed above are qualified in their entireties by reference to the full text of the applicable agreements which are filed as exhibits to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and Distribution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25, 2022, in connection with the execution of the Merger Agreement, Inpixon, Legacy CXApp, Design Reactor and KINS entered into the Separation and Distribution Agreement which sets forth the principal actions to be taken in connection with the Separation. The Separation and Distribution Agreement identifies assets to be transferred, liabilities to be assumed and contracts to be assigned to each of Inpixon and Legacy CXApp as part of the internal reorganization described therein and requires an Inpixon contribution to be made to Legacy CXApp. The Separation and Distribution Agreement also sets forth other agreements that govern certain aspects of Legacy CXApp’s relationship with Inpixon following the Business Combination. In connection with the Separation and Distribution Agreement and related ancillary agreements, Legacy CXApp issued additional shares of Legacy CXApp common stock to Inpixon. Inpixon distributed on a pro rata basis all of the outstanding shares of Legacy CXApp common stock to the Inpixon securityholders as of March 6, 2023 by delivering to the distribution agent a book-entry authorization representing the shares of Legacy CXApp common stock being distributed for the account of Inpixon securityholders. The distribution agent held such book-entry shares for the account of Legacy CXApp’s stockholders (as of immediately after consummation of the Distribution) pending the Merger.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date of the Distribution, Inpixon distributed on a pro rata basis all of the outstanding shares of Legacy CXApp common stock to the holders of Inpixon common stock and certain other holders of its securities as of March 6, 2023. The Distribution was effected by Inpixon delivering to the distribution agent a book-entry authorization representing the shares of Legacy CXApp common stock being distributed in the Distribution for the account of Inpixon securityholders. The distribution agent held such book-entry shares for the account of Legacy CXApp’s stockholders (as of immediately after consummation of the Distribution) pending the Merger. The shares of Legacy CXApp common stock were not transferrable prior to the exchange of such shares for the shares of KINS common stock pursuant to the Merger.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Matters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Distribution, KINS, Inpixon, Legacy CXApp and Merger Sub entered into the Employee Matters Agreement, which set forth the terms and conditions of certain employee-related matters in connection with the transaction, including allocation of benefit plan assets and liabilities between Inpixon and Legacy CXApp, treatment of incentive equity awards in the Distribution and the Business Combination and related covenants and commitments of the parties.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Tax Matters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Distribution, KINS, Legacy CXApp and Inpixon entered into the Tax Matters Agreement that governs each party’s respective rights, responsibilities and obligations with respect to tax liabilities and benefits, tax attributes, the preparation and filing of tax returns, the control of audits and other tax proceedings and certain other matters regarding taxes.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KINS and Legacy CXApp are liable for all U.S. federal, state, local and foreign taxes (and any related interest, penalties or audit adjustments) that are (i) imposed with respect to tax returns that include both Legacy CXApp and Inpixon, to the extent such taxes are attributable to Legacy CXApp or the Enterprise Apps Business, or (ii) imposed with respect to tax returns that include Legacy CXApp but not Inpixon, in each case, for tax periods (or portions thereof) beginning after the Distribution.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KINS and Legacy CXApp may be liable for certain taxes resulting from the restructuring transactions undertaken to effectuate the Distribution.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Distribution, together with certain related transactions, is intended to qualify as a reorganization under Sections 355 and 368(a) (1)(D) of the Code. If the Distribution does not so qualify, the difference between the fair market value and the tax basis of the Legacy CXApp shares distributed by Inpixon to the Inpixon stockholders will be taxable income to Inpixon.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if the contribution and distribution, taken together, otherwise qualify as a transaction described in Sections 355 and 368(a)(1) (D) of the Code, the Distribution is still taxable to Inpixon (but not to Inpixon stockholders) pursuant to Section 355(e) of the Code if one or more persons acquire a 50% or greater interest (measured by vote or value) in the stock of Inpixon or Legacy CXApp, directly or indirectly (including through acquisitions of our stock), as part of a plan or series of related transactions that includes the Distribution. For purposes of this test, the Merger is treated as part of a plan that includes the Distribution, but the Merger standing alone did not cause the Distribution to be taxable to Inpixon under Section 355(e) of the Code because holders of Legacy CXApp common stock own more than 50% of our common stock.</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Per the terms of the Sponsor Support Agreement, the Sponsor has agreed to exchange up to 1,000 thousand shares of KINS Class B common stock for such number of shares of KINS Class A common stock as shall be necessary to ensure that the number of shares of KINS common stock issued as aggregate merger consideration to the holders of Legacy CXApp common stock exceeds 50% by at least one share than the number of shares of KINS common stock owned by all other holders of KINS common stock. Pursuant to the Sponsor Support Agreement, the Sponsor and related parties have agreed, subject to the limitation set forth therein, to forfeit 22,224 shares of KINS common stock (as of immediately prior to the consummation of the Merger).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Tax Matters Agreement requires KINS and Legacy CXApp to comply with the representations made in the materials submitted to RSM US LLP in connection with a distribution tax opinion that Inpixon received regarding the intended tax treatment of the Distribution and certain related transactions.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Tax Matters Agreement also includes covenants restricting Legacy CXApp’s and KINS’ ability to take or fail to take any action if such action or failure to act could reasonably be expected to adversely affect the intended tax treatment. In particular, in the two years following the Distribution, such restrictive covenants will generally prevent KINS and Legacy CXApp from (i) entering into any transaction which could, when combined with other transactions (including the Merger), result in a 45% or greater change in ownership of KINS’ or Legacy CXApp’s equity as part of a plan or series of related transactions that includes the Distribution, (ii) ceasing the active conduct of certain of Legacy CXApp’s businesses, (iii) voluntarily dissolving or liquidating KINS or Legacy CXApp and (iv) causing, permitting, or agreeing to the sale, transfer, or disposal of assets of Legacy CXApp that, in the aggregate, constitute more than 30% of the consolidated gross assets of Legacy CXApp, in each case, unless Legacy CXApp obtains a private letter ruling from the IRS, an unqualified opinion of a nationally recognized tax advisor that such action will not cause a failure of the intended tax treatment, or Inpixon consents to the undertaking of such action. Notwithstanding receipt of such ruling, opinion or consent, in the event that such action causes a failure of the intended tax treatment, KINS and Legacy CXApp could be responsible for all taxes arising therefrom.</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Transition Services Agreement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Separation, Legacy CXApp and Inpixon entered into the Transition Services Agreement pursuant to which Inpixon and its affiliates and Legacy CXApp and its affiliates will provide services to each other primarily related to payroll and benefits administration, IT support, finance and accounting services, contract administration and management services, and other administrative support services that may be required on an as needed basis, which services are of the type that Legacy CXApp and Inpixon provided to, and received from, each other prior to the Separation. The fees for each of the transition services are set forth in the Transition Services Agreement. The Transition Services Agreement will terminate on the expiration of the term of the last service provided under it, and if no expiration date is provided for any transition service, then such transition service will terminate twelve months after the date of the Transition Services Agreement, provided that the receiving party shall have the right to an extension of each or any transition service for up to six months by providing written notice to providing party in advance of the original termination date for such transition service if, prior to such request for extension, the receiving party has used commercially reasonable efforts to establish analogous capabilities of its own. The parties will also discuss in good faith any subsequent requests to further extend the transition services. In addition, (i) the receiving party may terminate a transition service with prior written notice, with certain exceptions, (ii) either party may terminate the Transition Services Agreement in the event of an uncured material breach by the other party, upon bankruptcy or insolvency of the other party, or (iii) the parties may terminate a transition service or the Transition Service Agreement upon mutual agreement. Legacy CXApp does not anticipate that its net costs associated with the Transition Services Agreement will be materially different than the historical costs that have been allocated by Inpixon to Legacy CXApp related to these same services.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information on director independence, see </w:t>
      </w:r>
      <w:r>
        <w:rPr>
          <w:rFonts w:ascii="Times New Roman" w:cs="Times New Roman" w:eastAsia="Times New Roman" w:hAnsi="Times New Roman"/>
          <w:sz w:val="18"/>
          <w:szCs w:val="18"/>
          <w:i w:val="1"/>
          <w:iCs w:val="1"/>
          <w:color w:val="auto"/>
        </w:rPr>
        <w:t>Item 10. Directors, Executive Officers and Corporate Governance</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firms of WithumSmith+Brown, PC (“Withum”) and Marcum LLP (“Marcum”), act as our independent registered public accounting firms. Withum acted as the public accounting firm for the period from March 15, 2023 to December 31, 2023 (Successor) and Marcum acted as the public financial accounting firm for the year ended December 31, 2022 (Predecessor) and for the period from January 1, 2023 to March 14, 2023 (Predecessor).</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For the period from March 15, 2023 to December 31, 2023 (Successor), period from January 1, 2023 to March 14, 2023 (Predecessor),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year ended December 31, 2022 (Predecessor), fees for our independent registered public accounting firm were approximately $235,000, $0, and $130,000, respectively, for the services Withum and Marcum performed in connection with the audit of our December 31, 2023 consolidated financial statements included in this Annual Report on Form 10-K.</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For the period from March 15, 2023 to December 31, 2023 (Successor), period from January 1, 2023 to March 14,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and year ended December 31, 2022 (Predecessor), our independent registered public accounting firms did not render assurance and related services related to the performance of the audit or review of consolidated financial statements.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For the period from March 15, 2023 to December 31, 2023 (Successor), period from January 1, 2023 to March 14, 2023 (Predecessor),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year ended December 31, 2022 (Predecessor), fees for our independent registered public accounting firm were approximately $9,000, $0, and $8,100, respectively, for the services performed related to tax compliance, tax advice and tax planning.</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For the year ended December 31, 2023 and 2022, there were no fees billed for products and services provided by our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other than those set forth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pre-approves all audit and permitted non-audit services provided by any independent registered public accounting firm prior to each engagement.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w:t>
      </w:r>
      <w:r>
        <w:rPr>
          <w:rFonts w:ascii="Times New Roman" w:cs="Times New Roman" w:eastAsia="Times New Roman" w:hAnsi="Times New Roman"/>
          <w:sz w:val="18"/>
          <w:szCs w:val="18"/>
          <w:color w:val="auto"/>
        </w:rPr>
        <w: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96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The following documents are filed as part of this Form 10-K:</w:t>
            </w:r>
          </w:p>
        </w:tc>
        <w:tc>
          <w:tcPr>
            <w:tcW w:w="1000" w:type="dxa"/>
            <w:vAlign w:val="bottom"/>
          </w:tcPr>
          <w:p>
            <w:pPr>
              <w:spacing w:after="0"/>
              <w:rPr>
                <w:sz w:val="20"/>
                <w:szCs w:val="20"/>
                <w:color w:val="auto"/>
              </w:rPr>
            </w:pPr>
          </w:p>
        </w:tc>
      </w:tr>
      <w:tr>
        <w:trPr>
          <w:trHeight w:val="432"/>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w:t>
            </w:r>
          </w:p>
        </w:tc>
        <w:tc>
          <w:tcPr>
            <w:tcW w:w="96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00" w:type="dxa"/>
            <w:vAlign w:val="bottom"/>
          </w:tcPr>
          <w:p>
            <w:pPr>
              <w:spacing w:after="0"/>
              <w:rPr>
                <w:sz w:val="24"/>
                <w:szCs w:val="24"/>
                <w:color w:val="auto"/>
              </w:rPr>
            </w:pPr>
          </w:p>
        </w:tc>
      </w:tr>
      <w:tr>
        <w:trPr>
          <w:trHeight w:val="439"/>
        </w:trPr>
        <w:tc>
          <w:tcPr>
            <w:tcW w:w="6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8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240" w:type="dxa"/>
            <w:vAlign w:val="bottom"/>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Reports of Independent Registered Public Accounting Firms</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176"/>
        </w:trPr>
        <w:tc>
          <w:tcPr>
            <w:tcW w:w="43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88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(Loss)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6"/>
        </w:trPr>
        <w:tc>
          <w:tcPr>
            <w:tcW w:w="53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w:t>
            </w:r>
          </w:p>
        </w:tc>
        <w:tc>
          <w:tcPr>
            <w:tcW w:w="48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73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175"/>
        </w:trPr>
        <w:tc>
          <w:tcPr>
            <w:tcW w:w="316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080" w:type="dxa"/>
            <w:vAlign w:val="bottom"/>
            <w:gridSpan w:val="4"/>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 to F-35</w:t>
            </w:r>
          </w:p>
        </w:tc>
      </w:tr>
      <w:tr>
        <w:trPr>
          <w:trHeight w:val="453"/>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w:t>
            </w:r>
          </w:p>
        </w:tc>
        <w:tc>
          <w:tcPr>
            <w:tcW w:w="96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1000" w:type="dxa"/>
            <w:vAlign w:val="bottom"/>
          </w:tcPr>
          <w:p>
            <w:pPr>
              <w:spacing w:after="0"/>
              <w:rPr>
                <w:sz w:val="24"/>
                <w:szCs w:val="24"/>
                <w:color w:val="auto"/>
              </w:rPr>
            </w:pPr>
          </w:p>
        </w:tc>
      </w:tr>
      <w:tr>
        <w:trPr>
          <w:trHeight w:val="432"/>
        </w:trPr>
        <w:tc>
          <w:tcPr>
            <w:tcW w:w="600" w:type="dxa"/>
            <w:vAlign w:val="bottom"/>
          </w:tcPr>
          <w:p>
            <w:pPr>
              <w:spacing w:after="0"/>
              <w:rPr>
                <w:sz w:val="24"/>
                <w:szCs w:val="24"/>
                <w:color w:val="auto"/>
              </w:rPr>
            </w:pPr>
          </w:p>
        </w:tc>
        <w:tc>
          <w:tcPr>
            <w:tcW w:w="96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None.</w:t>
            </w:r>
          </w:p>
        </w:tc>
        <w:tc>
          <w:tcPr>
            <w:tcW w:w="1000" w:type="dxa"/>
            <w:vAlign w:val="bottom"/>
          </w:tcPr>
          <w:p>
            <w:pPr>
              <w:spacing w:after="0"/>
              <w:rPr>
                <w:sz w:val="24"/>
                <w:szCs w:val="24"/>
                <w:color w:val="auto"/>
              </w:rPr>
            </w:pPr>
          </w:p>
        </w:tc>
      </w:tr>
      <w:tr>
        <w:trPr>
          <w:trHeight w:val="432"/>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w:t>
            </w:r>
          </w:p>
        </w:tc>
        <w:tc>
          <w:tcPr>
            <w:tcW w:w="96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10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20" w:type="dxa"/>
            <w:vAlign w:val="bottom"/>
            <w:gridSpan w:val="4"/>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CXAPP INC. AND SUBSIDIARIES</w:t>
            </w:r>
          </w:p>
        </w:tc>
        <w:tc>
          <w:tcPr>
            <w:tcW w:w="21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1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96"/>
        </w:trPr>
        <w:tc>
          <w:tcPr>
            <w:tcW w:w="91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Reports of Independent Registered Public Accounting Firms</w:t>
            </w:r>
          </w:p>
        </w:tc>
        <w:tc>
          <w:tcPr>
            <w:tcW w:w="2100" w:type="dxa"/>
            <w:vAlign w:val="bottom"/>
            <w:shd w:val="clear" w:color="auto" w:fill="CCEEFF"/>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43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780" w:type="dxa"/>
            <w:vAlign w:val="bottom"/>
            <w:tcBorders>
              <w:top w:val="single" w:sz="8" w:color="CCEEFF"/>
            </w:tcBorders>
            <w:gridSpan w:val="3"/>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Consolidated Balance Sheets</w:t>
            </w:r>
          </w:p>
        </w:tc>
        <w:tc>
          <w:tcPr>
            <w:tcW w:w="6880" w:type="dxa"/>
            <w:vAlign w:val="bottom"/>
            <w:tcBorders>
              <w:bottom w:val="single" w:sz="8" w:color="CCEEFF"/>
            </w:tcBorders>
            <w:gridSpan w:val="6"/>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160" w:type="dxa"/>
            <w:vAlign w:val="bottom"/>
          </w:tcPr>
          <w:p>
            <w:pPr>
              <w:spacing w:after="0"/>
              <w:rPr>
                <w:sz w:val="15"/>
                <w:szCs w:val="15"/>
                <w:color w:val="auto"/>
              </w:rPr>
            </w:pPr>
          </w:p>
        </w:tc>
        <w:tc>
          <w:tcPr>
            <w:tcW w:w="898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(Loss)</w:t>
            </w:r>
          </w:p>
        </w:tc>
        <w:tc>
          <w:tcPr>
            <w:tcW w:w="2100" w:type="dxa"/>
            <w:vAlign w:val="bottom"/>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16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98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w:t>
            </w:r>
          </w:p>
        </w:tc>
        <w:tc>
          <w:tcPr>
            <w:tcW w:w="2100" w:type="dxa"/>
            <w:vAlign w:val="bottom"/>
            <w:shd w:val="clear" w:color="auto" w:fill="CCEEFF"/>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160" w:type="dxa"/>
            <w:vAlign w:val="bottom"/>
            <w:tcBorders>
              <w:top w:val="single" w:sz="8" w:color="CCEEFF"/>
            </w:tcBorders>
          </w:tcPr>
          <w:p>
            <w:pPr>
              <w:spacing w:after="0"/>
              <w:rPr>
                <w:sz w:val="15"/>
                <w:szCs w:val="15"/>
                <w:color w:val="auto"/>
              </w:rPr>
            </w:pPr>
          </w:p>
        </w:tc>
        <w:tc>
          <w:tcPr>
            <w:tcW w:w="4400" w:type="dxa"/>
            <w:vAlign w:val="bottom"/>
            <w:tcBorders>
              <w:top w:val="single" w:sz="8" w:color="0000EE"/>
            </w:tcBorders>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580" w:type="dxa"/>
            <w:vAlign w:val="bottom"/>
            <w:tcBorders>
              <w:top w:val="single" w:sz="8" w:color="CCEEFF"/>
            </w:tcBorders>
            <w:gridSpan w:val="2"/>
          </w:tcPr>
          <w:p>
            <w:pPr>
              <w:spacing w:after="0"/>
              <w:rPr>
                <w:sz w:val="15"/>
                <w:szCs w:val="15"/>
                <w:color w:val="auto"/>
              </w:rPr>
            </w:pPr>
          </w:p>
        </w:tc>
        <w:tc>
          <w:tcPr>
            <w:tcW w:w="2100" w:type="dxa"/>
            <w:vAlign w:val="bottom"/>
            <w:tcBorders>
              <w:top w:val="single" w:sz="8" w:color="CCEEFF"/>
            </w:tcBorders>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16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98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100" w:type="dxa"/>
            <w:vAlign w:val="bottom"/>
            <w:shd w:val="clear" w:color="auto" w:fill="CCEEFF"/>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F-8 to F-35</w:t>
            </w:r>
          </w:p>
        </w:tc>
      </w:tr>
      <w:tr>
        <w:trPr>
          <w:trHeight w:val="560"/>
        </w:trPr>
        <w:tc>
          <w:tcPr>
            <w:tcW w:w="16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580" w:type="dxa"/>
            <w:vAlign w:val="bottom"/>
            <w:tcBorders>
              <w:top w:val="single" w:sz="8" w:color="CCEEFF"/>
              <w:bottom w:val="single" w:sz="8" w:color="auto"/>
            </w:tcBorders>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5"/>
              </w:rPr>
              <w:t>F-1</w:t>
            </w:r>
          </w:p>
        </w:tc>
        <w:tc>
          <w:tcPr>
            <w:tcW w:w="2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CXApp Inc.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CXApp Inc. and Subsidiaries (the “Company”) as of December 31, 2023, and the related consolidated statement of operations and comprehensive income (loss), consolidated statement of stockholders’ equity, and consolidated statement of cash flows for the period from March 15, 2023 to December 31, 2023 and the related notes (collectively referred to as the “consolidated financial statements”). In our opinion, the consolidated financial statements present fairly, in all material respects, the financial position of CXApp Inc. as of December 31, 2023, and the results of its operations and its cash flows for the period from March 15, 2023 to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entity’s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CXApp Inc.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auditors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CXApp Holdings Corp. (f/k/a Design Reactor Inc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carve-out balance sheet of CXApp Holdings Corp. (f/k/a Design Reactor, Inc. and Subsidiaries) (Predecessor) as of December 31, 2022, the related combined carve-out statements of operations and comprehensive loss, and the combined carve-out statement of changes in parent’s net investment and cash flows for the period January 1, 2023 to March 14, 2023 and the year ended December 31, 2022, and the related notes (collectively referred to as the “financial statements”). In our opinion, the financial statements present fairly, in all material respects, the financial position of the Company as of March 14, 2023 and December 31, 2022 and the results of its operations and its cash flows for the period ended March 14, 2023 and year ended December 31, 2022,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combined carve-out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combined carve-out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combined carve-out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combined carve-out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CXAPP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445"/>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187"/>
        </w:trPr>
        <w:tc>
          <w:tcPr>
            <w:tcW w:w="868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6,275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 and $5, respectively</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and other receivables</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 costs, net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36,581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29,280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liability</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obligation, current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Note payable, net of debt discount of $834, unamortized financing costs of $14, and interest payable of $16 as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obligation, noncurrent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200,000,000 shares authorized; 15,254,389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no shares issued or outstanding as of December 31, 2022</w:t>
            </w:r>
          </w:p>
        </w:tc>
        <w:tc>
          <w:tcPr>
            <w:tcW w:w="16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C Common Stock, $0.0001 par value; 10,000,000 shares authorized, no shares issued or outstanding as of</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and December 31, 2022</w:t>
            </w:r>
          </w:p>
        </w:tc>
        <w:tc>
          <w:tcPr>
            <w:tcW w:w="16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parent investment</w:t>
            </w:r>
          </w:p>
        </w:tc>
        <w:tc>
          <w:tcPr>
            <w:tcW w:w="16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22,236</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25,398</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36,581</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29,280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40" w:type="dxa"/>
            <w:vAlign w:val="bottom"/>
            <w:gridSpan w:val="2"/>
          </w:tcPr>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CXAPP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445"/>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187"/>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21"/>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7320" w:type="dxa"/>
            <w:vAlign w:val="bottom"/>
          </w:tcPr>
          <w:p>
            <w:pPr>
              <w:spacing w:after="0"/>
              <w:rPr>
                <w:sz w:val="18"/>
                <w:szCs w:val="18"/>
                <w:color w:val="auto"/>
              </w:rPr>
            </w:pPr>
          </w:p>
        </w:tc>
        <w:tc>
          <w:tcPr>
            <w:tcW w:w="1280" w:type="dxa"/>
            <w:vAlign w:val="bottom"/>
            <w:tcBorders>
              <w:right w:val="single" w:sz="8" w:color="auto"/>
            </w:tcBorders>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2,064</w:t>
            </w:r>
          </w:p>
        </w:tc>
      </w:tr>
      <w:tr>
        <w:trPr>
          <w:trHeight w:val="210"/>
        </w:trPr>
        <w:tc>
          <w:tcPr>
            <w:tcW w:w="7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6,406</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9,323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5,096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11,571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3,885</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36,056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5,540</w:t>
            </w: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35,431</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(29,025)</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40" w:type="dxa"/>
            <w:vAlign w:val="bottom"/>
            <w:tcBorders>
              <w:bottom w:val="single" w:sz="8" w:color="CCEEFF"/>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8"/>
                <w:szCs w:val="18"/>
                <w:color w:val="auto"/>
              </w:rPr>
            </w:pPr>
          </w:p>
        </w:tc>
      </w:tr>
      <w:tr>
        <w:trPr>
          <w:trHeight w:val="210"/>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(52,810)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(29,022)</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gain/(loss) from cumulative translation adjustments</w:t>
            </w: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1,155</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(49,323</w:t>
            </w:r>
          </w:p>
        </w:tc>
        <w:tc>
          <w:tcPr>
            <w:tcW w:w="140" w:type="dxa"/>
            <w:vAlign w:val="bottom"/>
            <w:tcBorders>
              <w:top w:val="single" w:sz="8" w:color="CCEEFF"/>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Class A common stock</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11,403,393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dilutive net loss per share, Class A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Class C common stock</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dilutive net loss per share, Class C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CXAPP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5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5"/>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5"/>
                <w:szCs w:val="15"/>
                <w:color w:val="auto"/>
              </w:rPr>
            </w:pPr>
          </w:p>
        </w:tc>
        <w:tc>
          <w:tcPr>
            <w:tcW w:w="11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7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20,155</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20,211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(29,175)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(29,175)</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 allocated from parent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148"/>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Parents’s common shares issued for CXApp earnout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3,697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3,697</w:t>
            </w:r>
          </w:p>
        </w:tc>
        <w:tc>
          <w:tcPr>
            <w:tcW w:w="0" w:type="dxa"/>
            <w:vAlign w:val="bottom"/>
          </w:tcPr>
          <w:p>
            <w:pPr>
              <w:spacing w:after="0"/>
              <w:rPr>
                <w:sz w:val="1"/>
                <w:szCs w:val="1"/>
                <w:color w:val="auto"/>
              </w:rPr>
            </w:pPr>
          </w:p>
        </w:tc>
      </w:tr>
      <w:tr>
        <w:trPr>
          <w:trHeight w:val="148"/>
        </w:trPr>
        <w:tc>
          <w:tcPr>
            <w:tcW w:w="45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restricted stock units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9"/>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investment from parent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26,023</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22,236</w:t>
            </w:r>
          </w:p>
        </w:tc>
        <w:tc>
          <w:tcPr>
            <w:tcW w:w="2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1,155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23,391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5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22,236</w:t>
            </w:r>
          </w:p>
        </w:tc>
        <w:tc>
          <w:tcPr>
            <w:tcW w:w="460" w:type="dxa"/>
            <w:vAlign w:val="bottom"/>
            <w:gridSpan w:val="2"/>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2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23,391</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(4,380)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(4,380)</w:t>
            </w:r>
          </w:p>
        </w:tc>
        <w:tc>
          <w:tcPr>
            <w:tcW w:w="0" w:type="dxa"/>
            <w:vAlign w:val="bottom"/>
          </w:tcPr>
          <w:p>
            <w:pPr>
              <w:spacing w:after="0"/>
              <w:rPr>
                <w:sz w:val="1"/>
                <w:szCs w:val="1"/>
                <w:color w:val="auto"/>
              </w:rPr>
            </w:pPr>
          </w:p>
        </w:tc>
      </w:tr>
      <w:tr>
        <w:trPr>
          <w:trHeight w:val="148"/>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 allocated from parent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investment from parent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8,680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8,680</w:t>
            </w:r>
          </w:p>
        </w:tc>
        <w:tc>
          <w:tcPr>
            <w:tcW w:w="0" w:type="dxa"/>
            <w:vAlign w:val="bottom"/>
          </w:tcPr>
          <w:p>
            <w:pPr>
              <w:spacing w:after="0"/>
              <w:rPr>
                <w:sz w:val="1"/>
                <w:szCs w:val="1"/>
                <w:color w:val="auto"/>
              </w:rPr>
            </w:pPr>
          </w:p>
        </w:tc>
      </w:tr>
      <w:tr>
        <w:trPr>
          <w:trHeight w:val="162"/>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March 14, 2023</w:t>
            </w:r>
          </w:p>
        </w:tc>
        <w:tc>
          <w:tcPr>
            <w:tcW w:w="7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26,694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9"/>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1,127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27,821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5"/>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left="13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6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38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6"/>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ind w:right="6"/>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92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3"/>
                <w:szCs w:val="13"/>
                <w:color w:val="auto"/>
              </w:rPr>
            </w:pPr>
          </w:p>
        </w:tc>
        <w:tc>
          <w:tcPr>
            <w:tcW w:w="740" w:type="dxa"/>
            <w:vAlign w:val="bottom"/>
            <w:gridSpan w:val="2"/>
          </w:tcPr>
          <w:p>
            <w:pPr>
              <w:jc w:val="center"/>
              <w:ind w:left="133"/>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15, 2023</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7,034,999</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(8,563)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issued in connection with Business Combination</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1,547,700</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5,487,300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69,927</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3"/>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69,928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(49,238)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(49,238)</w:t>
            </w:r>
          </w:p>
        </w:tc>
        <w:tc>
          <w:tcPr>
            <w:tcW w:w="0" w:type="dxa"/>
            <w:vAlign w:val="bottom"/>
          </w:tcPr>
          <w:p>
            <w:pPr>
              <w:spacing w:after="0"/>
              <w:rPr>
                <w:sz w:val="1"/>
                <w:szCs w:val="1"/>
                <w:color w:val="auto"/>
              </w:rPr>
            </w:pPr>
          </w:p>
        </w:tc>
      </w:tr>
      <w:tr>
        <w:trPr>
          <w:trHeight w:val="149"/>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3"/>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Warrant exchange and exercise</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1,035,000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10,134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gridSpan w:val="3"/>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10,134</w:t>
            </w:r>
          </w:p>
        </w:tc>
        <w:tc>
          <w:tcPr>
            <w:tcW w:w="0" w:type="dxa"/>
            <w:vAlign w:val="bottom"/>
          </w:tcPr>
          <w:p>
            <w:pPr>
              <w:spacing w:after="0"/>
              <w:rPr>
                <w:sz w:val="1"/>
                <w:szCs w:val="1"/>
                <w:color w:val="auto"/>
              </w:rPr>
            </w:pPr>
          </w:p>
        </w:tc>
      </w:tr>
      <w:tr>
        <w:trPr>
          <w:trHeight w:val="148"/>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Warrant exercise – cashless</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49,608</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3"/>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26"/>
        </w:trPr>
        <w:tc>
          <w:tcPr>
            <w:tcW w:w="35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Mandatory conversion from Class C common stock to</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5,487,300</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(5,487,300)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Class A common stock</w:t>
            </w: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issuance – non-cash compensation</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99,782</w:t>
            </w: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issuance cost</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62"/>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55"/>
        </w:trPr>
        <w:tc>
          <w:tcPr>
            <w:tcW w:w="35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15,254,389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83,282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(57,801</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6"/>
              </w:rPr>
              <w:t>(85</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25,398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CXAPP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445"/>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21"/>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80" w:type="dxa"/>
            <w:vAlign w:val="bottom"/>
            <w:tcBorders>
              <w:right w:val="single" w:sz="8" w:color="auto"/>
            </w:tcBorders>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(49,238)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expense on promissory note</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 expense</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earnout payable</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5,540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note</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and other receivables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liabilities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40" w:type="dxa"/>
            <w:vAlign w:val="bottom"/>
            <w:tcBorders>
              <w:bottom w:val="single" w:sz="8" w:color="CCEEFF"/>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capitalized software</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acquired in connection with Business Combination</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4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equity investment from parent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25,967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stock based compensation</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CXApp acquisition liability</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promissory note</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related party promissory note</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exercise - net</w:t>
            </w: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5,028</w:t>
            </w: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right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 obtained in exchange for lease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Parent’s net equity issued for CXApp earnout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right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3,697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3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Noncash investment from parent</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409</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180"/>
              <w:spacing w:after="0" w:line="191" w:lineRule="exact"/>
              <w:rPr>
                <w:sz w:val="20"/>
                <w:szCs w:val="20"/>
                <w:color w:val="auto"/>
              </w:rPr>
            </w:pPr>
            <w:r>
              <w:rPr>
                <w:rFonts w:ascii="Times New Roman" w:cs="Times New Roman" w:eastAsia="Times New Roman" w:hAnsi="Times New Roman"/>
                <w:sz w:val="18"/>
                <w:szCs w:val="18"/>
                <w:color w:val="auto"/>
              </w:rPr>
              <w:t>Class A Common Stock and Class C Common Stock issued in connection with Business</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Combination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69,928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3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Financing of Director and Officer Insurance</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671</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240"/>
          </w:cols>
          <w:pgMar w:left="320" w:top="765" w:right="339" w:bottom="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83"/>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Warrant exercise – cashless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r>
      <w:tr>
        <w:trPr>
          <w:trHeight w:val="197"/>
        </w:trPr>
        <w:tc>
          <w:tcPr>
            <w:tcW w:w="73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Warrant exchange to Class A common stock</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4,914</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NOTE 1 – Organization, Nature of Business and Basis of Presentation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CXApp Inc. and its subsidiaries (“CXApp” or the “Company”) is in the business of delivering intelligent enterprise workplace experiences. The CXApp SaaS platform is anchored on the intersection of customer experience (CX) and artificial intelligence (AI) providing digital transformation for the physical workplace for enhanced experiences across people, places and things.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CXApp SaaS platform offers a suite of leading-edge technology workplace experience solutions including an enterprise employee application, indoor mapping, on-device positioning, augmented reality technologies, generative AI applications and an AI-based analytics platform, targeting the emerging hybrid workplace market. CXApp creates a connected workplace by reducing app overload, data fragmentation, and complex workflows and streamlines all capabilities through The Workplace SuperApp. All features, services and integrations are housed in one easy-to-access platform allowing businesses to deliver a more holistic employee experience in a hybrid workplace.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25, 2022, an Agreement and Plan of Merger (the “Merger Agreement”) was entered into by and among Inpixon, KINS, CXApp, and KINS Merger Sub Inc., a Delaware corporation and a wholly-owned subsidiary of KINS (“Merger Sub”), pursuant to which KINS acquired Inpixon’s enterprise apps business (including its workplace experience technologies, indoor mapping, events platform, augmented reality and related business solutions) (“Legacy CXApp”) in exchange for the issuance of shares of KINS capital stock (the “Business Combination”). As a result of the Business Combination, KINS changed their name to CXApp Inc. (“CXApp”). The shares are now trading on the Nasdaq using the ticker CXAI. The transaction closed on March 14, 2023. See Note 3 for more details.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“we,” “us,” “our,” “CXApp” and the “Company” refer to CXApp Inc., a Delaware corporation, and its consolidated subsidiaries following the Business Combination (as defined below). Unless the context otherwise requires, references to “KINS” refer to KINS Technology Group Inc., a Delaware corporation (“KINS”), prior to the Business Combination. All references herein to the “Board” refer to the board of directors of the Company. “Legacy CXApp” refers to CXApp Holding Corp., a Delaware corporation and a wholly owned subsidiary of the Company, which the Company acquired through the Business Combination. Prior to the Separation (as defined below), Legacy CXApp was a wholly owned subsidiary of Inpixon, a Nevada corporation (“Inpixon”).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Business Combination was accounted for using the acquisition method (as a forward merger), with goodwill and other identifiable intangible assets recorded in accordance with GAAP, as applicable. Under this method of accounting, the “Enterprise Apps Business” (formerly known as CXApp) is treated as the “acquired” company for financial reporting purposes. KINS (now known as CXApp Inc.) has been determined to be the accounting acquirer because KINS maintains control of the Board of Directors and management of the combined company.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(Successor), the Company had a working capital deficit of approximately $1,287 thousand and cash and cash equivalents of approximately $6,275 thousand. For the period from March 15, 2023 to December 31, 2023 (Successor), the Company incurred $49,238 thousand of net loss. For the period from March 15, 2023 to December 31, 2023 (Successor), the Company used approximately $12,766 thousand of cash for operating activities, of which $5,876 thousand was from a reduction in accrued liabilities, primarily paying merger related transaction liabilities.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cannot assure that it will ever earn revenues sufficient to support their operations, or that it will ever achieve profitable operations. The Company’s recurring losses and utilization of cash in its operations are indicators of substantial doubt that the entity can continue as a going concern however, with the Company’s current liquidity position, the Company has taken steps to reduce operating expenses resulting in a more efficient cost structure. The Company discussed plans to finance its future working capital requirements and capital expenditures from cash generated from operating activities, cash raised under the equity line financing agreement for up to $10,000 thousand, with an initial draw of $2,500 thousand in the second quarter of 2024, and cash raised under the promissory note of $3,000 thousand dollars payable by December 2024. Management believes that these actions, when implemented, will result in operational efficiencies, cost savings to the company, and access to funds when and if needed. While the Company believes in the viability of its strategy to generate revenues and in its ability to raise additional funds, there can be no assurances to that effect for the twelve months from the issuance of these consolidated financial statements. The ability of the Company to continue as a going concern is dependent upon the Company’s ability to further implement its business plan. 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each of the reporting periods. Actual results could differ from those estimates. The Company’s significant estimates consist of:</w:t>
      </w:r>
    </w:p>
    <w:p>
      <w:pPr>
        <w:spacing w:after="0" w:line="18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stock-based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warrant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allowance for credit losses;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allowance for deferred tax assets;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U.S. dollars and have been prepared in accordance with generally accepted accounting principles in the United States of America (“U.S. GAAP”) and pursuant to the accounting and disclosure rules and regulations of the Securities and Exchange Commission (the “SEC”).</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cash, checking accounts, money market accounts, temporary investments and certificates of deposit with maturities of three months or less when purchased. As of December 31, 2023 (Successor), the Company had cash equivalents of approximately $5,584 thousand of certificates of deposit held by a number of banks limited to $250 thousand per bank with a duration of 90 days or less. As of December 31, 2022 (Predecessor), the Company had no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Allowance for Credit Losses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receivables are stated at the amount the Company expects to collect. The Company recognizes an allowance for credit loss to ensure accounts receivable are not overstated due to uncollectability. Allowance for credit losses is maintained for various customers based on a variety of factors, including the length of time the receivables are past due, significant one-time events and historical experience. An additional allowance for credit losses is recorded for individual accounts when the Company becomes aware of a customer’s inability to meet its financial obligation, such as in the case of bankruptcy filings, or deterioration in such customer’s operating results or financial position. If circumstances related to a customer change, estimates of the recoverability of receivables would be further adjusted.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adopted ASU 2016-13 in the first quarter of fiscal 2023, March 31, 2023, and the impact of the adoption was not material. The allowance for credit losses as of December 31, 2023 (Successor) is approximately $2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The Company depreciates its property and equipment for financial reporting purposes using the straight-line method over the estimated useful lives of the assets, which range from 5 to 10 years. Leasehold improvements are amortized over the lesser of the useful life of the asset or the initial lease term. Expenditures for maintenance and repairs, which do not extend the economic useful life of the related assets, are charged to operations as incurred, and expenditures, which extend the economic life, are capitalized. When assets are retired, or otherwise disposed of, the costs and related accumulated depreciation or amortization are removed from the accounts and any gain or loss on disposal is recognized. Depreciation expense related to property and equipment is not included as part of cost of revenues, but as part of operating expenses.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Intangible assets primarily consist of developed technology, customer lists/relationships, non-compete agreements, intellectual property agreements, export licenses and trade names/trademarks. They are amortized ratably over a range of 5 to 10 years, which approximates customer attrition rate and technology obsolescence. The Company assesses the carrying value of its intangible assets for impairment annually, or more frequently if an event or other circumstances indicates that the Company may not be able to recover the carrying amount of the assets. Based on its assessments, the Company did not incur any impairment charges for the period from March 15, 2023 to December 31, 2023 (Successor), for the period from January 1, 2023 to March 14, 2023 (Predecessor), or for the year ended December 31, 2022 (Predecessor).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tests goodwill for potential impairment at least annually, or more frequently if an event or other circumstance indicates that the Company may not be able to recover the carrying amount of the net assets of the reporting unit. The Company has determined that the reporting unit is the entire company, due to the integration of all of the Company’s activities. In evaluating goodwill for impairment, the Company may assess qualitative factors to determine whether it is more likely than not (that is, a likelihood of more than 50%) that the fair value of a reporting unit is less than its carrying amount. If the Company bypasses the qualitative assessment, or if the Company concludes that it is more likely than not that the fair value of a reporting unit is less than its carrying value, then the Company performs a quantitative impairment test by comparing the fair value of a reporting unit with its carrying amount.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determination of whether goodwill is impaired involves a significant level of judgment in these assumptions, and changes in our forecasts, business strategy, government regulations, or economic or market conditions could significantly impact these judgments, potentially decreasing the fair value of our reporting unit. Any resulting impairment charges could have a material impact on our results of operations.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calculates the estimated fair value of a reporting unit using a weighting of the income and market approaches. For the income approach, the Company uses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the Company uses internal analyses based primarily on market comparables. The Company bases these assumptions on its historical data and experience, third party appraisals, industry projections, micro and macro general economic condition projections, and its expectations. Based on its assessments, the Company incurred an impairment charge of $36,056 thousand for the period from March 15, 2023 to December 31, 2023 (Successor) and did not incur impairment for the period from January 1, 2023 to March 14, 2023 (Predecessor). The Company incurred an impairment charge of approximately $5,540 thousand for the year ended December 31, 2022 (Predecessor).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and Right-of-Use Assets and Liabilities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Operating lease liabilities are recognized at the lease commencement date based on the present value of lease payments over the lease term. The Company generally uses their incremental borrowing rate based on the information available at the lease commencement date in determining the present value of future payments, because the implicit rate of the lease is generally not known. Right-of-use assets related to the Company’s operating lease liabilities are measured at lease inception based on the initial measurement of the lease liability, plus any prepaid lease payments and less any lease incentives. The Company’s lease terms that are used in determining their operating lease liabilities at lease inception may include options to extend or terminate the leases when it is reasonably certain that the Company will exercise such options. The Company amortizes their right-of-use assets as operating lease expense generally on a straight-line basis over the lease term and classify both the lease amortization and imputed interest as operating expenses. The Company does not recognize lease assets and lease liabilities for any lease with an original lease term of less than one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Accordingly, deferred tax assets and liabilities are recognized for the future tax consequences attributable to differences between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the tax rate is recognized in income or expense in the period that the change is effective. Income tax benefits are recognized when it is probable that the deduction will be sustained. A valuation allowance is established when it is more likely than not that all or a portion of a deferred tax asset will either expire before the Company is able to realize the benefit, or that future deductibility is uncertain.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 and Foreign Currency Translation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comprehensive income (loss) and its components in its consolidated financial statements. Comprehensive loss consists of net loss and foreign currency translation adjustments, affecting stockholders’ equity that, under GAAP, are excluded from net loss.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Assets and liabilities related to the Company’s foreign operations are calculated using the Philippine Peso and Canadian Dollar, and are translated at end-of period exchange rates, while the related revenues and expenses are translated at average exchange rates prevailing during the period. Gains or losses resulting from transactions denominated in foreign currencies are included in other income (expense) in the consolidated statements of operations. The Company engages in foreign currency denominated transactions with customers that operate in functional currencies other than the U.S. dollar. Aggregate foreign currency net transaction losses were not material for the period from March 15, 2023 to December 31, 2023 (Successor), for the period from January 1, 2023 to March 14, 2023 (Predecessor), and for the year ended December 31, 2022 (Predecessor).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costs related to the issuance of debt are capitalized and amortized to interest expense over the life of the related debt using the effective interest method. The amendments to FASB ASC 835-30 require that debt issuance costs be presented in the Consolidated Balance Sheet as a direct deduction from the carrying amount of debt, consistent with debt discounts or premiums.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revenue, in accordance with ASC 606, when control is transferred of the promised products or services to its customers, in an amount that reflects the consideration the Company expects to be entitled to in exchange for those products or services. The Company derives revenue from its software as a service for cloud based software, as well as design, implementation and other professional services for work performed in conjunction with its cloud based software. The Company enters into contracts with its customers whereby it grants a non-exclusive cloud-based license for the use of its proprietary software and for professional services. The contracts may also provide for on-going services for a specified price, which may include maintenance services, designated support, and enhancements, upgrades and improvements to the software, depending on the contract. Licenses for cloud software provide the customer with a right to use the software as it exists when made available to the customer. All software provides customers with the same functionality and differs mainly in the duration over which the customer benefits from the software.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CXApp has done an analysis of its revenue recognition process and found that the same steps taken by the Company agrees with ASC 606 – Revenue from Contracts with Customers. The standard’s core principle is that an entity will recognize revenue when it transfers goods or services to customers in an amount that reflects the consideration to which the entity expects to be entitled to in exchange for those goods or services. The new standard is a principles-based standard intended to better match the accounting for the transaction with the economics of the transaction. This requires entities to use more judgment and make more estimates than under previous revenue standards.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standard introduces a five-step model for revenue recognition that replaces the four criteria for revenue recognition under previous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five steps are shown below:</w:t>
      </w:r>
    </w:p>
    <w:p>
      <w:pPr>
        <w:spacing w:after="0" w:line="207"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 Subscription Revenue Recognition (Software As A Service)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sales of the Company’s license agreements, customers generally pay fixed annual fees in advance in exchange for the Company’s software service provided via electronic means, which are generally recognized ratably over the license term. Some agreements allow the customer to terminate their subscription contracts before the end of the applicable term, and in such cases the customer is generally entitled to a refund pro-rata but only for the elapsed time remaining at the point of termination, which would approximate the deferred revenue at such time. The Company’s performance obligation is satisfied over time as the electronic services are provided continuously throughout the service period. The Company recognizes revenue evenly over the service period using a time-based measure because the Company is providing continuous access to its service. The Company’s customers generally pay within 30 to 60 days from the receipt of a customer approved invoice.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related to the licensing revenue stream is dependent on whether the software licensing agreement entered into represents a service. Software that relies on an entity’s IP and is delivered only through a hosting arrangement, where the customer cannot take possession of the software, is a service. Customers may purchase perpetual licenses or subscribe to licenses, which provide customers with the same functionality and differ mainly in the duration over which the customer benefits from the software.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Renewals or extensions of licenses are evaluated as distinct licenses and revenue attributed to the distinct service is not recognized until (1) the entity provides the distinct license (or makes the license available) to the customer and (2) the customer is able to use and benefit from the distinct license. Renewal contracts are not combined with original contracts, and, as a result, the renewal right is evaluated in the same manner as all other additional rights granted after the initial contract. The revenue is not recognized until the customer can begin to use and benefit from the license, which is typically at the beginning of the license renewal period. The Company recognizes revenue resulting from renewal of licensed software over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Professional Services Revenue Recognition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provides integration and software customization professional services to its customers.</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Professional services under milestone contracts are accounted for using the percentage of completion method. As soon as the outcome of a contract can be estimated reliably, contract revenue is recognized in the statement of operations in proportion to the stage of completion of the contract. Contract costs are expensed as incurred. Contract costs include all amounts that relate directly to the specific contract, are attributable to contract activity, and are specifically chargeable to the customer under the terms of the contract.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Professional services are also contracted on the fixed fee and in some cases on a time and materials basis. Fixed fees are paid monthly, in phases, or upon acceptance of deliverables. The Company’s time and materials contracts are paid weekly or monthly based on hours worked. Revenue on time and material contracts is recognized based on a fixed hourly rate as direct labor hours are expended. Materials, or other specified direct costs, are reimbursed as actual costs and may include markup. The Company has elected the practical expedient to recognize revenue for the right to invoice because the Company’s right to consideration corresponds directly with the value to the customer of the performance completed to date. For fixed fee contracts provided by in house personnel, the Company recognizes revenue evenly over the service period using a time-based measure because the Company is providing continuous service. Because the Company’s contracts have an expected duration of one year or less, the Company has elected the practical expedient in ASC 606-10-50-14(a) to not disclose information about its remaining performance obligations. Anticipated losses are recognized as soon as they become known. For the period from March 15, 2023 to December 31, 2023 (Successor), for the period from January 1, 2023 to March 14, 2023 (Predecessor), and year ended December 31, 2022 (Predecessor), the Company did not incur any such losses. These amounts are based on known and estimated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invoicing to and payment by its customers. The Company records an unbilled receivable when revenue is recognized prior to invoicing and the Company has an unconditional right to payment. Alternatively, when invoicing a customer precedes the Company providing of the related services, the Company records deferred revenue until the performance obligations are satisfied. The Company had deferred revenue of approximately $2,878 thousand and $2,162 thousand as of December 31, 2023 (Successor) and December 31, 2022 (Predecessor), respectively, related to customer invoices rendered in advance for software licenses and professional services provided by the Company’s technical staff. The Company expects to satisfy its remaining performance obligations for the deferred revenue associated with professional services, and recognize the deferred revenue related to licenses generally over the remaining contract term which is generally twelve months following the commencement of the license. The Company recognized revenue in the reporting period of $2,163 thousand, $865 thousand, and $2,820 thousand, that was included in the deferred revenue at the beginning of the period, for the period from March 15, 2023 to December 31, 2023 (Successor), for the period from January 1, 2023 to March 14, 2023 (Predecessor), and for the year ended December 31, 2022 (Predecessor), respectively.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Costs to Obtain a Contract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eligible sales commissions as an asset within prepaid expenses and other current assets as the commissions are an incremental cost of obtaining a contract with the customer and the Company expects to recover these costs. The capitalized costs are amortized over the expected contract term.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to Fulfill a Contrac</w:t>
      </w:r>
      <w:r>
        <w:rPr>
          <w:rFonts w:ascii="Times New Roman" w:cs="Times New Roman" w:eastAsia="Times New Roman" w:hAnsi="Times New Roman"/>
          <w:sz w:val="18"/>
          <w:szCs w:val="18"/>
          <w:i w:val="1"/>
          <w:iCs w:val="1"/>
          <w:color w:val="auto"/>
        </w:rPr>
        <w:t>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incurs costs to fulfill their obligations under a contract once it has obtained the contract. These costs are generally not significant and are recorded to expense as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Multiple Performance Obligations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with customers for its technology that include multiple performance obligations. Each distinct performance obligation was determined by whether the customer could benefit from the good or service on its own or together with readily available resources. The Company allocates revenue to each performance obligation based on its relative standalone selling price. The Company’s process for determining standalone selling price considers multiple factors including the Company’s internal pricing model and market trends that may vary depending upon the facts and circumstances related to each performance obligation.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and Use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presents transactional taxes such as sales and use tax collected from customers and remitted to government authorities on a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 Costs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costs are expensed as incurred as part of cost of revenues. These costs were deemed to be de minimis during each of the reporting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(“R&amp;D”) costs are expensed when incurred. R&amp;D expenses consist primarily of personnel and related headcount costs, costs of professional services associated with the ongoing development of the Company’s technology, and allocated overhead.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combinations under Financial Accounting Standards Board (“FASB”) Accounting Standards Codification (“ASC”) 805 “Business Combinations” using the acquisition method of accounting, and accordingly, the assets and liabilities of the acquired business are recorded at their fair values at the date of acquisition. The excess of the purchase price over the estimated fair value is recorded as goodwill. All acquisition costs are expensed as incurred. Upon acquisition, the accounts and results of operations are included as of and subsequent to the acquisition date.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Chief Executive Officer (“CEO”), acting as the Chief Operating Decision Maker (“CODM”) determines its reporting units in accordance with FASB ASC 280, “Segment Reporting” (“ASC 280”). The Company evaluates a reporting unit by first identifying its operating segments under ASC 280. The Company then evaluates each operating segment to determine if it includes one or more components that constitute a business. If there are components within an operating segment that meet the definition of a business, the Company evaluates those components to determine if they must be aggregated into one or more reporting units. If applicable, when determining if it is appropriate to aggregate different operating segments, the Company determines if the segments are economically similar and, if so, the operating segments are aggregated. The Company has one operating segment and reporting unit. The Company is organized and operated as one business. Management reviews its business as a single operating segment, using financial and other information rendered meaningful only by the fact that such information is presented and reviewed in the aggregate.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employee and non-employee services received in exchange for an award of equity instruments based on the grant date fair value of the award. The Company has issued stock-based compensation awards in the form of options and restricted stock units. Fair value for options and restricted stock units are valued using the closing price of the Company’s common stock on the date of grant. The grant date fair value is recognized over the requisite service period during which an employee and non-employee is required to provide service in exchange for the award.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grant date fair value of options is estimated using the Black-Scholes option pricing model based on the average of the high and low stock prices at the grant date for awards under the CXApp Inc. 2023 Equity Incentive Plan (the “Incentive Plan”). The risk-free interest rate assumptions were based upon the observed interest rates appropriate for the expected term of the equity instruments. The expected dividend yield is assumed to be zero as the Company has not paid any dividends since its inception and does not anticipate paying dividends in the foreseeable future. The Company uses the simplified method to estimate the expected term.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estimates forfeitures at the time of grant and revises these estimates in subsequent periods if actual forfeitures differ from those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Warrant Liabilities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 The Company currently has two sets of warrants outstanding, known as the Private Placement Warrants and the Public Warrants, which are both classified as a liability.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or modification. For issued or modified warrants that do not meet all the criteria for equity classification, the warrants are required to be recorded at their initial fair value on the date of issuance as a warrant liability, and adjusted to the then fair value in each balance sheet date thereafter. Changes in the estimated fair value of the warrants are recognized as a non-cash gain or loss on the consolidated statements of operations and amounted to approximately $4,714 thousand of a loss for the period from March 15, 2023 to December 31, 2023 (Successor). The Company utilized the Public Warrant quoted market price as the fair value of the Warrants as of each relevant 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basic and diluted earnings per share by dividing net income by the weighted average number of common shares outstanding during the period. Diluted earnings per share are similarly calculated with the inclusion of dilutive common stock equivalents. For the year ended December 31, 2023, basic and dilutive net income (loss) per common share were the same since the inclusion of common shares issuable pursuant to the exercise of options, warrants, and vesting of restricted units in the calculation of diluted net loss per common shares would have been anti-dilutive.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common shares and common share equivalents excluded from the calculation of diluted net loss per common share for the year ended December 31, 2023.</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187"/>
        </w:trPr>
        <w:tc>
          <w:tcPr>
            <w:tcW w:w="9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gridSpan w:val="2"/>
          </w:tcPr>
          <w:p>
            <w:pPr>
              <w:spacing w:after="0"/>
              <w:rPr>
                <w:sz w:val="16"/>
                <w:szCs w:val="16"/>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Pr>
          <w:p>
            <w:pPr>
              <w:spacing w:after="0"/>
              <w:rPr>
                <w:sz w:val="18"/>
                <w:szCs w:val="18"/>
                <w:color w:val="auto"/>
              </w:rPr>
            </w:pPr>
          </w:p>
        </w:tc>
      </w:tr>
      <w:tr>
        <w:trPr>
          <w:trHeight w:val="22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21,032</w:t>
            </w:r>
          </w:p>
        </w:tc>
        <w:tc>
          <w:tcPr>
            <w:tcW w:w="80" w:type="dxa"/>
            <w:vAlign w:val="bottom"/>
            <w:shd w:val="clear" w:color="auto" w:fill="CCEEFF"/>
          </w:tcPr>
          <w:p>
            <w:pPr>
              <w:spacing w:after="0"/>
              <w:rPr>
                <w:sz w:val="19"/>
                <w:szCs w:val="19"/>
                <w:color w:val="auto"/>
              </w:rPr>
            </w:pP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calculation for Earnings Per Share was made for the year ended 2022 because CXApp only commenced operations in March 15,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FASB ASC 820, “Fair Value Measurements” (“ASC 820”), provides guidance on the development and disclosure of fair value measurements. The Company follows this authoritative guidance for fair value measurements, which defines fair value, establishes a framework for measuring fair value under generally accepted accounting principles in the United States, and expands disclosures about fair value measurements. The guidance requires fair value measurements be classified and disclosed in one of the following three categories:</w:t>
      </w:r>
    </w:p>
    <w:p>
      <w:pPr>
        <w:spacing w:after="0" w:line="180"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The fair value of the warrants has been measured based on the listed market price of such warrants, a Level 1 measurement. For the period ended March 15, 2023 to December 31, 2023 (Successor), the Company recognized an unrealized loss in the Statements of Operations and Comprehensive Income of $4,714 thousand which is presented as change in fair value of derivative liability.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its public and private warrants as a derivative liability initially measured at its fair values and remeasured in the consolidated statements of operations at the end of each reporting period. When the warrants are exercised, the corresponding derivative liability is de-recognized at the underlying fair value of the Class A common stock that is issued to the warrant holder less any cash paid in accordance with the warrant agreement. Upon either cash or cashless exercise, the de-recognized derivative liability results in an increase in additional paid in capital equal to the difference between the fair value of the underlying Class A common stock and its par value. A cashless exercise results in the warrant holder surrendering Class A common stock equal to the stated warrant exercise price based on the contractual terms in the warrant agreement that governs the cashless conversion.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changes in fair value of the liabilities during the period ended December 31, 2023:</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15, 2023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2,649</w:t>
            </w:r>
          </w:p>
        </w:tc>
        <w:tc>
          <w:tcPr>
            <w:tcW w:w="80" w:type="dxa"/>
            <w:vAlign w:val="bottom"/>
            <w:shd w:val="clear" w:color="auto" w:fill="CCEEFF"/>
          </w:tcPr>
          <w:p>
            <w:pPr>
              <w:spacing w:after="0"/>
              <w:rPr>
                <w:sz w:val="18"/>
                <w:szCs w:val="18"/>
                <w:color w:val="auto"/>
              </w:rPr>
            </w:pPr>
          </w:p>
        </w:tc>
      </w:tr>
      <w:tr>
        <w:trPr>
          <w:trHeight w:val="230"/>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FV of derivative instruments</w:t>
            </w:r>
          </w:p>
        </w:tc>
        <w:tc>
          <w:tcPr>
            <w:tcW w:w="36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9"/>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FV of derivative instruments</w:t>
            </w:r>
          </w:p>
        </w:tc>
        <w:tc>
          <w:tcPr>
            <w:tcW w:w="3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12,040</w:t>
            </w: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FV of derivative instruments</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(5,220)</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FV of Warrants cash exercised and exchanged for Class A common stock (see </w:t>
            </w:r>
            <w:r>
              <w:rPr>
                <w:rFonts w:ascii="Times New Roman" w:cs="Times New Roman" w:eastAsia="Times New Roman" w:hAnsi="Times New Roman"/>
                <w:sz w:val="18"/>
                <w:szCs w:val="18"/>
                <w:i w:val="1"/>
                <w:iCs w:val="1"/>
                <w:color w:val="auto"/>
              </w:rPr>
              <w:t>Note 11 - Warrants</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(1,237)</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warrant extinguishment</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(3,894)</w:t>
            </w:r>
          </w:p>
        </w:tc>
      </w:tr>
      <w:tr>
        <w:trPr>
          <w:trHeight w:val="23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FV of Warrants cashless exercised for Class A common stock (see </w:t>
            </w:r>
            <w:r>
              <w:rPr>
                <w:rFonts w:ascii="Times New Roman" w:cs="Times New Roman" w:eastAsia="Times New Roman" w:hAnsi="Times New Roman"/>
                <w:sz w:val="18"/>
                <w:szCs w:val="18"/>
                <w:i w:val="1"/>
                <w:iCs w:val="1"/>
                <w:color w:val="auto"/>
              </w:rPr>
              <w:t>Note 11 - Warrants</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FV of derivative instruments</w:t>
            </w: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accounts receivable, notes and other receivables and accounts payable. The Company determines the estimated fair value of such financial instruments presented in the financial statements is equal to its carrying value due to their short-term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Value, Recoverability and Impairment of Long-Lived Assets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follows FASB ASC 360 “Property, Plant, and Equipment” (“ASC 360”) for its long-lived assets. Pursuant to ASC 360-10-35-17, an impairment loss shall be recognized only if the carrying amount of a long-lived asset (asset group) is not recoverable and exceeds its fair value. The carrying amount of a long-lived asset (asset group) is not recoverable if it exceeds the sum of the undiscounted cash flows expected to result from the use and eventual disposition of the asset (asset group). That assessment shall be based on the carrying amount of the asset (asset group) at the date it is tested for recoverability. An impairment loss shall be measured as the amount by which the carrying amount of a long-lived asset (asset group) exceeds its fair value. Pursuant to ASC 360-10-35-20, if an impairment loss is recognized, the adjusted carrying amount of a long-lived asset shall be its new cost basis. For a depreciable long-lived asset, the new cost basis shall be depreciated (amortized) over the remaining useful life of that asset. Restoration of a previously recognized impairment loss is prohibited.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ASC 360-10-35-21, the Company’s long-lived asset (asset group) is tested for recoverability whenever events or changes in circumstances indicate that its carrying amount may not be recoverable. The Company considers the following to be some examples of such events or changes in circumstances that may trigger an impairment review: (a) significant decrease in the market price of a long-lived asset (asset group); (b) a significant adverse change in the extent or manner in which a long-lived asset (asset group) is being used or in its physical condition; (c) a significant adverse change in legal factors or in the business climate that could affect the value of a long-lived asset (asset group), including an adverse action or assessment by a regulator; (d) an accumulation of costs significantly in excess of the amount originally expected for the acquisition or construction of a long-lived asset (asset group); (e) a current-period operating or cash flow loss combined with a history of operating or cash flow losses or a projection or forecast that demonstrates continuing losses associated with the use of a long-lived asset (asset group); and (f) a current expectation that, more likely than not, a long-lived asset (asset group) will be sold or otherwise disposed of significantly before the end of its previously estimated useful life. The Company tests its long-lived assets for potential impairment indicators at least annually and more frequently upon the occurrence of such events.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its assessments, the Company recorded no impairment charges on long-lived assets for the period from March 15, 2023 to December 31, 2023 (Successor), for the period from January 1, 2023 to March 14, 2023 (Predecessor), and year ended December 31, 2022 (Predecessor).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Adopted in 2023</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No. 2016-13, “Financial Instruments – Credit Losses” (“ASU 2016-13”), which requires a reporting entity to determine the allowance for credit losses for an instrument based on the amortized cost of the financial asset. The expected credit loss model aims to provide stakeholders with more transparent and timely information regarding an entity’s credit risk exposures. At the same time, it provides processes and procedures in determining a doubtful account.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ASU 2016-13 is effective for interim and annual periods beginning after March 14, 2023 on a prospective basis, with early adoption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adopted ASU 2016-13 in the first quarter of fiscal 2023, March 31, 2023, and the impact of the adoption was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2023, the FASB issued ASU 2023-03, “Presentation of Financial Statements (Topic 205), Income Statement - Reporting Comprehensive Income (Topic 220), Distinguishing Liabilities from Equity (Topic 480), Equity (Topic 505), and Compensation - Stock Compensation (Topic 718)”, which updates codification on how an entity would apply the scope guidance in paragraph 718-10-15-3 to determine whether profits interest and similar awards should be accounted for in accordance with Topic 718, Compensation—Stock Compensation. The effective date of this update is for fiscal years beginning after December 15, 2023, including interim periods within those fiscal years. The Company is currently evaluating the impact of the adoption of this ASU will have on the Company’s consolidated financial position and results of operations.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which amends the codification in response to the SEC’s Disclosure Update and Simplification Initiative. The effective date of this update is for fiscal years beginning after June 30, 2027, including interim periods within those fiscal years. The Company is currently assessing potential impacts of ASU 2023-06 and does not expect the adoption of this guidance will have a material impact on its consolidated financial statements and disclosures.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fourth quarter of 2023, the FASB issued three ASU’s: No. 2023-07 “Segment Reporting (Topic 280)”, No. 2023-08 “Intangibles – Goodwill and Other – Crypto Assets (Subtopic 350-60), and No. 2023-09 “Income Taxes (Topic 740)”. The Management sees the Company as one single unit, instead of as segments, leading to a more in-depth consideration should FASB ASU No. 2023-07 be considered. FASB ASU No. 2023-07 is effective after fiscal year ended December 15, 2023. The effects of ASU 2023-08 and ASU 2023-09 are both being considered and assessed for their potential effects, but the Company does not expect any material impact on the financial statements and disclosures. Both FASB ASU 2023-08 and 2023-09 are effective after fiscal year ended December 15,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14, 2023, the Company completed the Agreement and Plan of Merger (the “Merger Agreement”), by and among KINS, Inpixon, CXApp, and KINS Merger Sub Inc., a Delaware corporation and a wholly-owned subsidiary of KINS (“Merger Sub”), pursuant to which KINS combined with Legacy CXApp, Inpixon’s enterprise apps business (including its workplace experience technologies, indoor mapping, events platform, augmented reality and related business solutions) (the “Enterprise Apps Business”). In exchange for the aggregate purchase price of approximately $69,928 thousand, the Company acquired all of the related assets and liabilities of Legacy CXApp. The consideration transferred in connection with the Business Combination consisted of 1,547,700 shares of the Company’s Class A Common Stock and 5,487,300 shares of the Company’s Class C Common Stock valued at a price of $9.94 per share. The preliminary estimated goodwill of approximately $44,122 thousand arising from the Business Combination consists of an acquired workforce, as well as synergies expected from combined operations of KINS and the CXApp.</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authorized Class A and Class C common stock. Class A common stock and New CXApp Class C common stock are identical in all respects, except that New CXApp Class C common stock is not listed and will automatically convert into New CXApp Class A common stock on the</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earlier to occur of (i)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closing of the Merger which has expired and (ii) the day that the last reported sale price of New CXApp Class A common stock equals or exceeds $12.00 per share for any 20 trading days within any 30-trading day period following the closing of the Merger.</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Business Combination is being accounted for as a business combination in accordance with ASC 805. The Company has determined preliminary fair values of the assets acquired and liabilities assumed in the Business Combination. These values are subject to change as we perform additional reviews of our assumptions utilized.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made a provisional allocation of the purchase price of the Business Combination to the assets acquired and the liabilities assumed as of the closing date. The following table summarizes the preliminary purchase price allocations relating to the Business Combination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38"/>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23"/>
        </w:trPr>
        <w:tc>
          <w:tcPr>
            <w:tcW w:w="8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69,928</w:t>
            </w: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10"/>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10,003</w:t>
            </w:r>
          </w:p>
        </w:tc>
        <w:tc>
          <w:tcPr>
            <w:tcW w:w="112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2,226</w:t>
            </w:r>
          </w:p>
        </w:tc>
        <w:tc>
          <w:tcPr>
            <w:tcW w:w="112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and other receivables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12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assets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12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w:t>
            </w:r>
          </w:p>
        </w:tc>
        <w:tc>
          <w:tcPr>
            <w:tcW w:w="112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12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Tradenames and trademarks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10"/>
        </w:trPr>
        <w:tc>
          <w:tcPr>
            <w:tcW w:w="8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0"/>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112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112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2,534</w:t>
            </w:r>
          </w:p>
        </w:tc>
        <w:tc>
          <w:tcPr>
            <w:tcW w:w="112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12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obligation, noncurrent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120" w:type="dxa"/>
            <w:vAlign w:val="bottom"/>
          </w:tcPr>
          <w:p>
            <w:pPr>
              <w:spacing w:after="0"/>
              <w:rPr>
                <w:sz w:val="18"/>
                <w:szCs w:val="18"/>
                <w:color w:val="auto"/>
              </w:rPr>
            </w:pPr>
          </w:p>
        </w:tc>
      </w:tr>
      <w:tr>
        <w:trPr>
          <w:trHeight w:val="230"/>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4,337</w:t>
            </w:r>
          </w:p>
        </w:tc>
        <w:tc>
          <w:tcPr>
            <w:tcW w:w="1120" w:type="dxa"/>
            <w:vAlign w:val="bottom"/>
            <w:shd w:val="clear" w:color="auto" w:fill="CCEEFF"/>
          </w:tcPr>
          <w:p>
            <w:pPr>
              <w:spacing w:after="0"/>
              <w:rPr>
                <w:sz w:val="19"/>
                <w:szCs w:val="19"/>
                <w:color w:val="auto"/>
              </w:rPr>
            </w:pPr>
          </w:p>
        </w:tc>
      </w:tr>
      <w:tr>
        <w:trPr>
          <w:trHeight w:val="210"/>
        </w:trPr>
        <w:tc>
          <w:tcPr>
            <w:tcW w:w="8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r>
      <w:tr>
        <w:trPr>
          <w:trHeight w:val="223"/>
        </w:trPr>
        <w:tc>
          <w:tcPr>
            <w:tcW w:w="8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44,122</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value of the intangible assets were calculated by a third party valuation firm based on projections and financial data provided by management of the Company. Goodwill represents the excess fair value after allocation to the intangible assets. The calculated goodwill is not deductible for tax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acquisition-related costs for the Business Combination were approximately $3,543 thousand. Of the total acquisition-related costs, approximately $3,000 thousand were incurred by KINS prior to the close of the Business Combination. These costs are included in the opening retained earnings of the Company on March 15, 2023. The remaining $543 thousand of acquisition-related costs were recorded as expense in the successor period and are included in acquisition related costs on the statements of operations for the year ended December 31, 2023.</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Measurement Period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preliminary purchase price allocations for the acquisitions described above are based on initial estimates and provisional amounts. In accordance with ASC 805-10-25-13, if the initial accounting for a business combination is incomplete by the end of the reporting period in which the combination occurs, the acquirer shall report in its financial statements provisional amounts for the items for which the accounting is incomplete. During the measurement period, acquirer shall adjust the provisional amounts recognized at the acquisition date to reflect new information obtained about facts and circumstances that existed as of the acquisition date that, if known, would have affected the measurement of the amounts recognized as of that date. The Company continues to refine its inputs and estimates inherent in (i) the valuation of intangible assets, (ii) deferred income taxes, (iii) realization of tangible assets and (iv) the accuracy and completeness of liabilities. For the year ended December 31, 2023, the Company recognized a measurement period adjustment, which decreased prepaid assets and other current assets, developed technology, accounts payable and deferred tax liability by approximately $180 thousand, $571 thousand, $18 thousand and $137 thousand, respectively and increased accrued liabilities and goodwill by approximately $58 thousand and $671 thousand,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CXApp Pro Forma Financial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pro forma financial information presents the consolidated balance sheet and results of operations of the Company for the years ended December 31, 2023 and 2022 as if the acquisition had occurred as of the beginning of the first period presented (January 1, 2022). The pro forma information does not necessarily reflect the results of operations that would have occurred had the entities been a single company during those periods.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CXAPP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8,798</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27,552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24,635</w:t>
            </w:r>
          </w:p>
        </w:tc>
        <w:tc>
          <w:tcPr>
            <w:tcW w:w="80" w:type="dxa"/>
            <w:vAlign w:val="bottom"/>
            <w:shd w:val="clear" w:color="auto" w:fill="CCEEFF"/>
          </w:tcPr>
          <w:p>
            <w:pPr>
              <w:spacing w:after="0"/>
              <w:rPr>
                <w:sz w:val="19"/>
                <w:szCs w:val="19"/>
                <w:color w:val="auto"/>
              </w:rPr>
            </w:pPr>
          </w:p>
        </w:tc>
      </w:tr>
      <w:tr>
        <w:trPr>
          <w:trHeight w:val="263"/>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2"/>
              </w:rPr>
              <w:t>36,581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10,316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8,645</w:t>
            </w:r>
          </w:p>
        </w:tc>
        <w:tc>
          <w:tcPr>
            <w:tcW w:w="8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19"/>
                <w:szCs w:val="19"/>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11,183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25,398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23,591</w:t>
            </w:r>
          </w:p>
        </w:tc>
        <w:tc>
          <w:tcPr>
            <w:tcW w:w="80" w:type="dxa"/>
            <w:vAlign w:val="bottom"/>
            <w:shd w:val="clear" w:color="auto" w:fill="CCEEFF"/>
          </w:tcPr>
          <w:p>
            <w:pPr>
              <w:spacing w:after="0"/>
              <w:rPr>
                <w:sz w:val="19"/>
                <w:szCs w:val="19"/>
                <w:color w:val="auto"/>
              </w:rPr>
            </w:pPr>
          </w:p>
        </w:tc>
      </w:tr>
      <w:tr>
        <w:trPr>
          <w:trHeight w:val="210"/>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2"/>
              </w:rPr>
              <w:t>25,398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36,581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33,433</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CXAPP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308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shd w:val="clear" w:color="auto" w:fill="CCEEFF"/>
          </w:tcPr>
          <w:p>
            <w:pPr>
              <w:spacing w:after="0"/>
              <w:rPr>
                <w:sz w:val="18"/>
                <w:szCs w:val="18"/>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(20,828)</w:t>
            </w:r>
          </w:p>
        </w:tc>
      </w:tr>
      <w:tr>
        <w:trPr>
          <w:trHeight w:val="542"/>
        </w:trPr>
        <w:tc>
          <w:tcPr>
            <w:tcW w:w="30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F-20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NOTE 4 – Disaggregation of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control is transferred of the promised products or services to its customers, in an amount that reflects the consideration the Company expects to be entitled to in exchange for those products or services. The Company derives revenue from software as a service, design and implementation services for its enterprise apps solutions systems, and professional services for work performed in conjunction with its systems.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consisted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114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2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4,560</w:t>
            </w: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subscription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1,204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Non-subscription revenue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non-subscription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416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114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2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Revenue recognized over time</w:t>
            </w:r>
            <w:r>
              <w:rPr>
                <w:rFonts w:ascii="Times New Roman" w:cs="Times New Roman" w:eastAsia="Times New Roman" w:hAnsi="Times New Roman"/>
                <w:sz w:val="28"/>
                <w:szCs w:val="28"/>
                <w:color w:val="auto"/>
                <w:vertAlign w:val="superscript"/>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5,746</w:t>
            </w:r>
          </w:p>
        </w:tc>
        <w:tc>
          <w:tcPr>
            <w:tcW w:w="20" w:type="dxa"/>
            <w:vAlign w:val="bottom"/>
            <w:shd w:val="clear" w:color="auto" w:fill="000000"/>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3"/>
              </w:rPr>
              <w:t>1,620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7"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are also contracted on the fixed fee and time and materials basis. Fixed fees are paid monthly, in phases, or upon acceptance of deliverables. The Company has generally elected the practical expedient to recognize revenue for the right to invoice because the Company’s right to consideration corresponds directly with the value to the customer of the performance completed to date, in which revenue is recognized over time.</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As A Service Subscription Revenue’s performance obligation is satisfied evenly over the service period using a time-based measure because the Company is providing continuous access to its service and service is recognized over time.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446"/>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87"/>
        </w:trPr>
        <w:tc>
          <w:tcPr>
            <w:tcW w:w="868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38"/>
        </w:trPr>
        <w:tc>
          <w:tcPr>
            <w:tcW w:w="8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were approximately $75 thousand, $19 thousand, and $119 thousand for the period from March 15, 2023 to December 31, 2023 (Successor), for the period from January 1, 2023 to March 14, 2023 (Predecessor), and for the year ended December 31, 2022 (Predecessor),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Software Development Costs,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Capitalized software development costs consisted of the following (in 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446"/>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87"/>
        </w:trPr>
        <w:tc>
          <w:tcPr>
            <w:tcW w:w="868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38"/>
        </w:trPr>
        <w:tc>
          <w:tcPr>
            <w:tcW w:w="8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9"/>
                <w:szCs w:val="19"/>
                <w:color w:val="auto"/>
              </w:rPr>
            </w:pPr>
          </w:p>
        </w:tc>
        <w:tc>
          <w:tcPr>
            <w:tcW w:w="1120" w:type="dxa"/>
            <w:vAlign w:val="bottom"/>
            <w:tcBorders>
              <w:right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Software development costs,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capitalized software development costs was approximately $209 thousand and $527 thousand for the period from January 1, 2023 to March 14, 2023 (Predecessor) and for the year ended December 31, 2022 (Predecessor), respectively. There was no amortization expense for capitalized software development costs for the period from March 15, 2023 to December 31, 2023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December 31 of each year and whenever events or changes in circumstances indicate the carrying value of goodwill may not be recoverable. The Company noted that the carrying amount of Goodwill as of December 31, 2023 was $8,737 thousand, which was entirely due to the business combination noted in Note 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Factors that may be considered a change in circumstances indicating that the carrying value of our goodwill or amortizable intangible assets may not be recoverable include a decline in industry and market considerations, technological advancements, and the Company’s financial performance.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completed our annual goodwill impairment evaluation as of December 31, 2023. As a result, the Company incurred an impairment loss of $36,056 thousand.</w:t>
      </w:r>
    </w:p>
    <w:p>
      <w:pPr>
        <w:sectPr>
          <w:pgSz w:w="11900" w:h="16838" w:orient="portrait"/>
          <w:cols w:equalWidth="0" w:num="1">
            <w:col w:w="11240"/>
          </w:cols>
          <w:pgMar w:left="320" w:top="769" w:right="339" w:bottom="1440" w:gutter="0" w:footer="0" w:header="0"/>
        </w:sectPr>
      </w:pPr>
    </w:p>
    <w:p>
      <w:pPr>
        <w:spacing w:after="0" w:line="162" w:lineRule="exact"/>
        <w:rPr>
          <w:sz w:val="20"/>
          <w:szCs w:val="20"/>
          <w:color w:val="auto"/>
        </w:rPr>
      </w:pPr>
    </w:p>
    <w:p>
      <w:pPr>
        <w:jc w:val="right"/>
        <w:ind w:right="4920"/>
        <w:spacing w:after="0"/>
        <w:rPr>
          <w:sz w:val="20"/>
          <w:szCs w:val="20"/>
          <w:color w:val="auto"/>
        </w:rPr>
      </w:pPr>
      <w:r>
        <w:rPr>
          <w:rFonts w:ascii="Times New Roman" w:cs="Times New Roman" w:eastAsia="Times New Roman" w:hAnsi="Times New Roman"/>
          <w:sz w:val="18"/>
          <w:szCs w:val="18"/>
          <w:color w:val="auto"/>
        </w:rPr>
        <w:t>Goodwill consisted of the following (in thousands):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March 15,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Legacy CXApp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Measurement Period Adjustments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ind w:left="1060" w:hanging="1055"/>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44,122</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(36,056)</w:t>
      </w:r>
    </w:p>
    <w:p>
      <w:pPr>
        <w:spacing w:after="0" w:line="27" w:lineRule="exact"/>
        <w:rPr>
          <w:sz w:val="20"/>
          <w:szCs w:val="20"/>
          <w:color w:val="auto"/>
        </w:rPr>
      </w:pPr>
    </w:p>
    <w:p>
      <w:pPr>
        <w:ind w:left="700" w:hanging="695"/>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029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769" w:right="339" w:bottom="1440" w:gutter="0" w:footer="0" w:header="0"/>
          <w:type w:val="continuous"/>
        </w:sectPr>
      </w:pP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Intangible assets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410"/>
        </w:trPr>
        <w:tc>
          <w:tcPr>
            <w:tcW w:w="3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3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46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4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34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34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Name/Trademarks</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5,604</w:t>
            </w:r>
          </w:p>
        </w:tc>
        <w:tc>
          <w:tcPr>
            <w:tcW w:w="52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8,697</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11,781</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Pr>
          <w:p>
            <w:pPr>
              <w:spacing w:after="0"/>
              <w:rPr>
                <w:sz w:val="18"/>
                <w:szCs w:val="18"/>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Intellectual Property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2,703</w:t>
            </w:r>
          </w:p>
        </w:tc>
        <w:tc>
          <w:tcPr>
            <w:tcW w:w="5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20,298</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18,136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26,913</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(7,624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on intangible assets as of December 31, 2023 is anticipated to be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Years Ending December 31,</w:t>
            </w:r>
          </w:p>
        </w:tc>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1,844</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5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5,368</w:t>
            </w:r>
          </w:p>
        </w:tc>
      </w:tr>
      <w:tr>
        <w:trPr>
          <w:trHeight w:val="223"/>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410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3"/>
          </w:tcPr>
          <w:p>
            <w:pPr>
              <w:jc w:val="right"/>
              <w:ind w:right="4290"/>
              <w:spacing w:after="0"/>
              <w:rPr>
                <w:sz w:val="20"/>
                <w:szCs w:val="20"/>
                <w:color w:val="auto"/>
              </w:rPr>
            </w:pPr>
            <w:r>
              <w:rPr>
                <w:rFonts w:ascii="Times New Roman" w:cs="Times New Roman" w:eastAsia="Times New Roman" w:hAnsi="Times New Roman"/>
                <w:sz w:val="18"/>
                <w:szCs w:val="18"/>
                <w:color w:val="auto"/>
              </w:rPr>
              <w:t>F-23</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NOTE 8 – Deferred Revenue</w:t>
      </w:r>
    </w:p>
    <w:p>
      <w:pPr>
        <w:spacing w:after="0" w:line="22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Deferred revenue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 -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Revenue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 -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Successor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Professional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License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20" w:type="dxa"/>
            <w:vAlign w:val="bottom"/>
          </w:tcPr>
          <w:p>
            <w:pPr>
              <w:spacing w:after="0"/>
              <w:rPr>
                <w:sz w:val="20"/>
                <w:szCs w:val="20"/>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2,148</w:t>
            </w:r>
          </w:p>
        </w:tc>
        <w:tc>
          <w:tcPr>
            <w:tcW w:w="24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2,534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(1,186)</w:t>
            </w: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(5,746)</w:t>
            </w:r>
          </w:p>
        </w:tc>
      </w:tr>
      <w:tr>
        <w:trPr>
          <w:trHeight w:val="234"/>
        </w:trPr>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6,090</w:t>
            </w:r>
          </w:p>
        </w:tc>
        <w:tc>
          <w:tcPr>
            <w:tcW w:w="40" w:type="dxa"/>
            <w:vAlign w:val="bottom"/>
          </w:tcPr>
          <w:p>
            <w:pPr>
              <w:spacing w:after="0"/>
              <w:rPr>
                <w:sz w:val="20"/>
                <w:szCs w:val="20"/>
                <w:color w:val="auto"/>
              </w:rPr>
            </w:pPr>
          </w:p>
        </w:tc>
      </w:tr>
      <w:tr>
        <w:trPr>
          <w:trHeight w:val="223"/>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2,404</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2,878</w:t>
            </w:r>
          </w:p>
        </w:tc>
        <w:tc>
          <w:tcPr>
            <w:tcW w:w="40" w:type="dxa"/>
            <w:vAlign w:val="bottom"/>
          </w:tcPr>
          <w:p>
            <w:pPr>
              <w:spacing w:after="0"/>
              <w:rPr>
                <w:sz w:val="19"/>
                <w:szCs w:val="19"/>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Professional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License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20" w:type="dxa"/>
            <w:vAlign w:val="bottom"/>
          </w:tcPr>
          <w:p>
            <w:pPr>
              <w:spacing w:after="0"/>
              <w:rPr>
                <w:sz w:val="20"/>
                <w:szCs w:val="20"/>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2,524</w:t>
            </w:r>
          </w:p>
        </w:tc>
        <w:tc>
          <w:tcPr>
            <w:tcW w:w="24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622</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3,146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(8,470)</w:t>
            </w:r>
          </w:p>
        </w:tc>
      </w:tr>
      <w:tr>
        <w:trPr>
          <w:trHeight w:val="234"/>
        </w:trPr>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2,603</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7,486</w:t>
            </w:r>
          </w:p>
        </w:tc>
        <w:tc>
          <w:tcPr>
            <w:tcW w:w="40" w:type="dxa"/>
            <w:vAlign w:val="bottom"/>
          </w:tcPr>
          <w:p>
            <w:pPr>
              <w:spacing w:after="0"/>
              <w:rPr>
                <w:sz w:val="20"/>
                <w:szCs w:val="20"/>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2,162</w:t>
            </w:r>
          </w:p>
        </w:tc>
        <w:tc>
          <w:tcPr>
            <w:tcW w:w="4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600" w:space="720"/>
            <w:col w:w="3920"/>
          </w:cols>
          <w:pgMar w:left="320" w:top="765" w:right="339" w:bottom="1440" w:gutter="0" w:footer="0" w:header="0"/>
        </w:sect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revenues were approximately $2,878 thousand, $2,534 thousand, and $2,162 thousand at December 31, 2023 (Successor), March 14, 2023 (Predecessor), and December 31, 2022 (Predecessor), respectively.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deferred revenue approximates the services to be rendered given the short term period over which it is expected to be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Accrued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446"/>
        </w:trPr>
        <w:tc>
          <w:tcPr>
            <w:tcW w:w="5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87"/>
        </w:trPr>
        <w:tc>
          <w:tcPr>
            <w:tcW w:w="52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38"/>
        </w:trPr>
        <w:tc>
          <w:tcPr>
            <w:tcW w:w="524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 and commissions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transaction costs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and other indirect taxes payable</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3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5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right"/>
              <w:ind w:right="2934"/>
              <w:spacing w:after="0"/>
              <w:rPr>
                <w:sz w:val="20"/>
                <w:szCs w:val="20"/>
                <w:color w:val="auto"/>
              </w:rPr>
            </w:pPr>
            <w:r>
              <w:rPr>
                <w:rFonts w:ascii="Times New Roman" w:cs="Times New Roman" w:eastAsia="Times New Roman" w:hAnsi="Times New Roman"/>
                <w:sz w:val="18"/>
                <w:szCs w:val="18"/>
                <w:color w:val="auto"/>
              </w:rPr>
              <w:t>F-24</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10 – Promissory Note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 payable as of December 31, 2023 consisted of the following:</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10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8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shd w:val="clear" w:color="auto" w:fill="CCEEFF"/>
          </w:tcPr>
          <w:p>
            <w:pPr>
              <w:spacing w:after="0"/>
              <w:rPr>
                <w:sz w:val="18"/>
                <w:szCs w:val="18"/>
                <w:color w:val="auto"/>
              </w:rPr>
            </w:pPr>
          </w:p>
        </w:tc>
      </w:tr>
      <w:tr>
        <w:trPr>
          <w:trHeight w:val="216"/>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original issue discount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10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r>
      <w:tr>
        <w:trPr>
          <w:trHeight w:val="209"/>
        </w:trPr>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Accrued interest payable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r>
      <w:tr>
        <w:trPr>
          <w:trHeight w:val="223"/>
        </w:trPr>
        <w:tc>
          <w:tcPr>
            <w:tcW w:w="10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15, 2023, we entered into a note purchase agreement with Streeterville Capital, LLC (the “Lender”), pursuant to which we agreed to issue and sell to the Lender an unsecured promissory note (the “Note”) in an aggregate initial principal amount of $3,885 thousand, which is payable on or before the date that is 12 months from the issuance date. The initial principal amount includes an original issue discount of $870 thousand and $15 thousand that we agreed to pay to the Lender to cover the Lender’s legal fees, accounting costs, due diligence, monitoring and other transaction costs. The net proceeds of the Note is $3,000 thousand.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on the Note accrues at a rate of 10% per annum and is payable on the maturity date.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monitoring fee of 10% of the outstanding balance will be charged starting six (6) months from the issuance of the Note to cover Lender’s accounting, legal and other costs incurred in monitoring. The foregoing fee shall automatically be added to the outstanding balance on the applicable date without any further action by either party.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Lender shall have the right to redeem up to an aggregate of 1/6th of the initial principal balance of the Note plus any interest accrued thereunder each month by providing written notice delivered to us; provided, however, that if the Lender does not exercise any monthly redemption amount in its corresponding month then such monthly redemption amount shall be available for the Lender to redeem in any further month in addition to such future month’s monthly redemption amount.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receipt of any monthly redemption notice, we shall pay the applicable monthly redemption amount in cash to the Lender within five (5) business days of the Company’s receipt of such monthly redemption notice.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 includes customary event of default provisions, subject to certain cure periods, and provides for a default interest rate of 22%. Upon the occurrence of an event of default, interest would accrue on the outstanding balance beginning on the date the applicable event of default occurred at an interest rate equal to the lesser of twenty-two percent (22%) or the maximum rate permitted under applicable law.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May 15, 2024, there is an aggregate outstanding principal and interest balance of approximately $4,050 thousand underlying the December 2023 Note.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period from March 15, 2023 to December 31, 2023, interest expense recognized on the consolidated statement of operations and comprehensive loss is approximately $53 thousand.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NOTE 11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10,752 thousand Public Warrants outstanding, and none as of December 31, 2022. Each whole warrant entitles the holder thereof to purchase one share of the Company’s Class A common stock at a price of $11.50 per share, subject to adjustments described in the Company’s registration statement on Form S-1 (Registration No. 333-249177) filed in connection with its initial public offering.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Public Warrants is exercisable and will expire on March 15, 2028 or earlier upon redemption or liquidation. Public Warrants may only be exercised for a whole number of shares. No fractional warrants will be issued upon separation of the units and only whole warrants will trade.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13, 2023, warrant holders exercised 435 thousand public warrants at an exercise price of $11.50, for a total of $5,002 thousand of cash proceeds to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14, 2023, the Company entered into a Warrant Exchange Agreement (the “Agreement”) with third party investor (the “Warrant Holder”) with respect to warrants to purchase an aggregate of 2,000 thousand shares of its common stock, par value $0.0001 per share (the “Common Stock”) initially issued by the Company in its initial public offering on December 15, 2020 (the “Public Warrants”). Pursuant to the Agreement, the Company issued an aggregate of 600 thousand shares of Common Stock to the Warrant Holder in exchange for the surrender and cancellation of the Public Warrants held by such holder. This resulted in an additional paid in capital of $4,914 thousand in a non-cash transaction and resulted in a $3,900 thousand loss on the warrant conversion, which is included in change in fair value of derivative liability in the statement of operations.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quarter ended September 30, 2023, about 613 thousand public warrants to purchase Class A common stock were exercised on a cashless basis for approximately 50 thousand shares of common stock and are no longer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there were 10,280 thousand Private Placement Warrants outstanding and none as of December 31, 2022. The Private Placement Warrants are identical to the Public Warrants, except that the Private Placement Warrants and the shares of Class A common stock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Public and private warrant exercise activity and underlying Common Stock issued or surrendered for the year ended December 31, 2023, is: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2023</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Warrants exchanged and exercised – cash</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Warrants exercised – cashless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0"/>
                <w:szCs w:val="20"/>
                <w:color w:val="auto"/>
              </w:rPr>
            </w:pPr>
          </w:p>
        </w:tc>
        <w:tc>
          <w:tcPr>
            <w:tcW w:w="10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114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13,800,000</w:t>
            </w:r>
          </w:p>
        </w:tc>
        <w:tc>
          <w:tcPr>
            <w:tcW w:w="240" w:type="dxa"/>
            <w:vAlign w:val="bottom"/>
          </w:tcPr>
          <w:p>
            <w:pPr>
              <w:spacing w:after="0"/>
              <w:rPr>
                <w:sz w:val="16"/>
                <w:szCs w:val="16"/>
                <w:color w:val="auto"/>
              </w:rPr>
            </w:pPr>
          </w:p>
        </w:tc>
        <w:tc>
          <w:tcPr>
            <w:tcW w:w="11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10,280,000</w:t>
            </w: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24,080,000</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(2,435,000)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(2,435,000)</w:t>
            </w:r>
          </w:p>
        </w:tc>
      </w:tr>
      <w:tr>
        <w:trPr>
          <w:trHeight w:val="248"/>
        </w:trPr>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(613,138)</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(613,138)</w:t>
            </w:r>
          </w:p>
        </w:tc>
      </w:tr>
      <w:tr>
        <w:trPr>
          <w:trHeight w:val="223"/>
        </w:trPr>
        <w:tc>
          <w:tcPr>
            <w:tcW w:w="1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10,751,862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10,280,000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21,031,862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-607695</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-325120</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765"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NOTE 12 – Stock Option Plan and Stock-Based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calculate the stock-based compensation resulting from the issuance of options, the Company uses the Black-Scholes option pricing model, which is affected by the Company’s fair value of its stock price as well as assumptions regarding a number of subjective variables. These variables include, but are not limited to, the Company’s expected stock price volatility over the term of the awards, and actual and projected employee stock option exercise behaviors.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special meeting held on March 10, 2023, the KINS stockholders considered and approved, among other things, the Incentive Plan. The Incentive Plan was previously approved, subject to stockholder approval, by KINS’ board of directors. The Incentive Plan became effective immediately upon the closing of the Business Combination. Pursuant to the terms of the Incentive Plan, there are 2,110,500 shares of CXApp Class A Common Stock available for issuance under the Incentive Plan, which is equal to 15% of the aggregate number of shares of CXApp common stock issued and outstanding immediately after the closing of the Business Combination (giving effect to the redemptions).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a total of 1,377,172 stock options for the purchase of the Company’s common stock were granted to employees and directors of the Company. These options vest over a 2-year period, with 50% vested at the end of year one and 50% vested at the end of year two. The options have a life of 10 years and an exercise price of $1.53 per option. The stock options were valued using the Black-Scholes option valuation model and the weighted average fair value of the awards granted during the period was determined to be $0.90 per option on the grant date. The fair value of the common stock as of the grant date utilized in the Black-Scholes option valuation model was $1.53 per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summary of the stock options granted under the Incentive Plan: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r>
      <w:tr>
        <w:trPr>
          <w:trHeight w:val="238"/>
        </w:trPr>
        <w:tc>
          <w:tcPr>
            <w:tcW w:w="598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1,377,172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(392,272)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984,900</w:t>
            </w: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r>
      <w:tr>
        <w:trPr>
          <w:trHeight w:val="196"/>
        </w:trPr>
        <w:tc>
          <w:tcPr>
            <w:tcW w:w="59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exercisable at December 31, 2023</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stock-based compensation expenses associated with options of approximately $239 thousand and $1,640 thousand for the years ended December 31, 2023 (Successor) and December 31, 2022 (Predecessor), respectively, which is included in general and administrative expenses of the consolidated statement of operations.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(Successor), the remaining unrecognized stock compensation expense totaled approximately $394 thousand. This amount will be recognized as expense over the weighted average remaining term of 1.24 years.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employee option grant is estimated on the date of the grant using the Black-Scholes option-pricing model. Key weighted-average assumptions used to apply this pricing model during the year ended December 31, 2023 (Successor) were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40" w:type="dxa"/>
            <w:vAlign w:val="bottom"/>
            <w:shd w:val="clear" w:color="auto" w:fill="CCEEFF"/>
          </w:tcPr>
          <w:p>
            <w:pPr>
              <w:jc w:val="center"/>
              <w:ind w:left="3310"/>
              <w:spacing w:after="0"/>
              <w:rPr>
                <w:sz w:val="20"/>
                <w:szCs w:val="20"/>
                <w:color w:val="auto"/>
              </w:rPr>
            </w:pPr>
            <w:r>
              <w:rPr>
                <w:rFonts w:ascii="Times New Roman" w:cs="Times New Roman" w:eastAsia="Times New Roman" w:hAnsi="Times New Roman"/>
                <w:sz w:val="18"/>
                <w:szCs w:val="18"/>
                <w:color w:val="auto"/>
                <w:w w:val="98"/>
              </w:rPr>
              <w:t>3.67%</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 grants</w:t>
            </w:r>
          </w:p>
        </w:tc>
        <w:tc>
          <w:tcPr>
            <w:tcW w:w="474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5.75 years</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underlying stock</w:t>
            </w:r>
          </w:p>
        </w:tc>
        <w:tc>
          <w:tcPr>
            <w:tcW w:w="4740" w:type="dxa"/>
            <w:vAlign w:val="bottom"/>
            <w:shd w:val="clear" w:color="auto" w:fill="CCEEFF"/>
          </w:tcPr>
          <w:p>
            <w:pPr>
              <w:jc w:val="center"/>
              <w:ind w:left="3310"/>
              <w:spacing w:after="0"/>
              <w:rPr>
                <w:sz w:val="20"/>
                <w:szCs w:val="20"/>
                <w:color w:val="auto"/>
              </w:rPr>
            </w:pPr>
            <w:r>
              <w:rPr>
                <w:rFonts w:ascii="Times New Roman" w:cs="Times New Roman" w:eastAsia="Times New Roman" w:hAnsi="Times New Roman"/>
                <w:sz w:val="18"/>
                <w:szCs w:val="18"/>
                <w:color w:val="auto"/>
                <w:w w:val="97"/>
              </w:rPr>
              <w:t>61.65%</w:t>
            </w: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Dividends assumption</w:t>
            </w:r>
          </w:p>
        </w:tc>
        <w:tc>
          <w:tcPr>
            <w:tcW w:w="4740" w:type="dxa"/>
            <w:vAlign w:val="bottom"/>
          </w:tcPr>
          <w:p>
            <w:pPr>
              <w:jc w:val="center"/>
              <w:ind w:left="33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period from March 15, 2023 to December 31, 2023 (Successor), a total of 526,165 restricted stock units of the Company’s common stock were granted to employees and nonemployees of the Company under the Incentive Plan at various dates.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common stock as of the various grant dates was determined to be $6.13 to $11.80 per restricted stock unit, for a weighted average fair value of $7.80 per restricted stock unit. There were 40,000 forfeited restricted stock units during the year ended December 31, 2023 (Successor).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 compensation expense was $686 thousand for the period March 15, 2023 to December 31, 2023 (Successor), which is included in general and administrative expenses of the consolidated statement of operations.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(Successor), the Company has approximately $1,796 thousand of unrecognized restricted stock unit compensation to be expensed over a weighted average period of 1.42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2023, the Company issued 100,000 shares of Class A Common Stock as a compensation to BTIG, LLC (BTIG) for a one-year strategic and capital markets advisory services to be provided to the Company effective on the business day following the Business Combination. During the period March 15, 2023 to December 31, 2023, the Company recorded compensation amounted to $155 thousand which is included in the general and administrative expenses of the consolidated statements of operations and comprehensive loss and in the consolidated statements of cash flows as stock-based compensation.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Business Combination, the Company’s Class C Common Stock is subject to transfer restrictions and will automatically convert into the Company’s Class A Common Stock on the earlier to occur of (i) the 180th day following the closing of the Merger and (ii) the day that the last reported sale price of the New CXApp Class A Common Stock equals or exceeds $12.00 per share for any 20 trading days within any 30-trading day period following the closing of the Merger.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10, 2023, the Company’s 5,487,300 shares of Class C Common Stock were automatically converted into an aggregate of 5,487,300 shares of the Company’s Class A Common Stock, par value $0.0001 per share.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NOTE 14 – Income Tax</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net deferred tax assets/(liabilities) consisted of the effects of temporary differences attributable to the following:</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174 - software development cost</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4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2,202</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17,038</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4,585</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19,109</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valuation allowance</w:t>
            </w:r>
          </w:p>
        </w:tc>
        <w:tc>
          <w:tcPr>
            <w:tcW w:w="4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3,714</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4,706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80" w:type="dxa"/>
            <w:vAlign w:val="bottom"/>
            <w:tcBorders>
              <w:bottom w:val="single" w:sz="8" w:color="CCEEFF"/>
            </w:tcBorders>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4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(Liability)</w:t>
            </w:r>
          </w:p>
        </w:tc>
        <w:tc>
          <w:tcPr>
            <w:tcW w:w="4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4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jc w:val="right"/>
              <w:ind w:right="2933"/>
              <w:spacing w:after="0"/>
              <w:rPr>
                <w:sz w:val="20"/>
                <w:szCs w:val="20"/>
                <w:color w:val="auto"/>
              </w:rPr>
            </w:pPr>
            <w:r>
              <w:rPr>
                <w:rFonts w:ascii="Times New Roman" w:cs="Times New Roman" w:eastAsia="Times New Roman" w:hAnsi="Times New Roman"/>
                <w:sz w:val="18"/>
                <w:szCs w:val="18"/>
                <w:color w:val="auto"/>
              </w:rPr>
              <w:t>F-29</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color w:val="auto"/>
        </w:rPr>
        <w:t>The income tax provision consists of the following for the years ended December 31, 2023 and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187"/>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7320" w:type="dxa"/>
            <w:vAlign w:val="bottom"/>
          </w:tcPr>
          <w:p>
            <w:pPr>
              <w:spacing w:after="0"/>
              <w:rPr>
                <w:sz w:val="18"/>
                <w:szCs w:val="18"/>
                <w:color w:val="auto"/>
              </w:rPr>
            </w:pPr>
          </w:p>
        </w:tc>
        <w:tc>
          <w:tcPr>
            <w:tcW w:w="1280" w:type="dxa"/>
            <w:vAlign w:val="bottom"/>
            <w:tcBorders>
              <w:right w:val="single" w:sz="8" w:color="auto"/>
            </w:tcBorders>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(1,533)</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(2,697)</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(743)</w:t>
            </w:r>
          </w:p>
        </w:tc>
      </w:tr>
      <w:tr>
        <w:trPr>
          <w:trHeight w:val="210"/>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Total</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4,971</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(3,572</w:t>
            </w:r>
          </w:p>
        </w:tc>
        <w:tc>
          <w:tcPr>
            <w:tcW w:w="140" w:type="dxa"/>
            <w:vAlign w:val="bottom"/>
            <w:tcBorders>
              <w:top w:val="single" w:sz="8" w:color="CCEEFF"/>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U.S. federal and state net operating loss carryover of approximately $4,973 thousand and $4,776 thousand respectively. The federal NOLs generated till 2017-18 which if unutilized will expire by the year 2037 and the federal NOLs generated after 2018-19 will be carried forward indefinitely whereas the state NOLs if unutilized will expire based on the state statutes.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Deferred income tax is presented under noncurrent liabilities and in other assets in the consolidated balance sheet as of December 31, 2023 and 2022, respectively.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the information available, management believes that it is more likely that the deferred tax assets will be realized in foreseeable future and has therefore recognized the entire opening valuation allowance of $924 thousand. For the period from March 15, 2023 to December 31, 2023 (Successor), for the period from January 1, 2023 to March 14, 2023 (Predecessor), and for the year ended December 31, 2022 (Predecessor), the change in valuation allowance was ($924) thousand, ($3,144) thousand, and $4,971 thousand, respectively.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for recording interest and penalties associated with unrecognized tax benefits is to record such interest and penalties as interest expense and as a component of income tax expense. There were no amounts accrued for interest or penalties for the years ended December 31, 2023 and 2022. Management does not expect any material changes in its unrecognized tax benefits in the next year.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reconciliation of the federal income tax rate to the Company’s effective tax rate for the years ended December 31, 2023 and 2022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7020" w:type="dxa"/>
            <w:vAlign w:val="bottom"/>
          </w:tcPr>
          <w:p>
            <w:pPr>
              <w:spacing w:after="0"/>
              <w:rPr>
                <w:sz w:val="24"/>
                <w:szCs w:val="24"/>
                <w:color w:val="auto"/>
              </w:rPr>
            </w:pPr>
          </w:p>
        </w:tc>
        <w:tc>
          <w:tcPr>
            <w:tcW w:w="13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24"/>
                <w:szCs w:val="24"/>
                <w:color w:val="auto"/>
              </w:rPr>
            </w:pPr>
          </w:p>
        </w:tc>
        <w:tc>
          <w:tcPr>
            <w:tcW w:w="27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187"/>
        </w:trPr>
        <w:tc>
          <w:tcPr>
            <w:tcW w:w="70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7020" w:type="dxa"/>
            <w:vAlign w:val="bottom"/>
          </w:tcPr>
          <w:p>
            <w:pPr>
              <w:spacing w:after="0"/>
              <w:rPr>
                <w:sz w:val="18"/>
                <w:szCs w:val="18"/>
                <w:color w:val="auto"/>
              </w:rPr>
            </w:pPr>
          </w:p>
        </w:tc>
        <w:tc>
          <w:tcPr>
            <w:tcW w:w="13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March 15,</w:t>
            </w:r>
          </w:p>
        </w:tc>
        <w:tc>
          <w:tcPr>
            <w:tcW w:w="80" w:type="dxa"/>
            <w:vAlign w:val="bottom"/>
          </w:tcPr>
          <w:p>
            <w:pPr>
              <w:spacing w:after="0"/>
              <w:rPr>
                <w:sz w:val="18"/>
                <w:szCs w:val="18"/>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13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2023 to</w:t>
            </w:r>
          </w:p>
        </w:tc>
        <w:tc>
          <w:tcPr>
            <w:tcW w:w="80" w:type="dxa"/>
            <w:vAlign w:val="bottom"/>
          </w:tcPr>
          <w:p>
            <w:pPr>
              <w:spacing w:after="0"/>
              <w:rPr>
                <w:sz w:val="18"/>
                <w:szCs w:val="18"/>
                <w:color w:val="auto"/>
              </w:rPr>
            </w:pPr>
          </w:p>
        </w:tc>
        <w:tc>
          <w:tcPr>
            <w:tcW w:w="14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3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7020" w:type="dxa"/>
            <w:vAlign w:val="bottom"/>
          </w:tcPr>
          <w:p>
            <w:pPr>
              <w:spacing w:after="0"/>
              <w:rPr>
                <w:sz w:val="18"/>
                <w:szCs w:val="18"/>
                <w:color w:val="auto"/>
              </w:rPr>
            </w:pPr>
          </w:p>
        </w:tc>
        <w:tc>
          <w:tcPr>
            <w:tcW w:w="13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4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March 14,</w:t>
            </w:r>
          </w:p>
        </w:tc>
        <w:tc>
          <w:tcPr>
            <w:tcW w:w="13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0"/>
                <w:szCs w:val="20"/>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38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Incentive stock options</w:t>
            </w:r>
          </w:p>
        </w:tc>
        <w:tc>
          <w:tcPr>
            <w:tcW w:w="13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38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loss</w:t>
            </w:r>
          </w:p>
        </w:tc>
        <w:tc>
          <w:tcPr>
            <w:tcW w:w="13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US-Foreign income tax rate difference</w:t>
            </w:r>
          </w:p>
        </w:tc>
        <w:tc>
          <w:tcPr>
            <w:tcW w:w="138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w:t>
            </w:r>
          </w:p>
        </w:tc>
        <w:tc>
          <w:tcPr>
            <w:tcW w:w="13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debt income</w:t>
            </w:r>
          </w:p>
        </w:tc>
        <w:tc>
          <w:tcPr>
            <w:tcW w:w="138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Rate differential on foreign earnings</w:t>
            </w:r>
          </w:p>
        </w:tc>
        <w:tc>
          <w:tcPr>
            <w:tcW w:w="13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38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Current federal tax true-up</w:t>
            </w:r>
          </w:p>
        </w:tc>
        <w:tc>
          <w:tcPr>
            <w:tcW w:w="13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138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Deferred only adjustment</w:t>
            </w:r>
          </w:p>
        </w:tc>
        <w:tc>
          <w:tcPr>
            <w:tcW w:w="13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4.80%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Pr>
          <w:p>
            <w:pPr>
              <w:spacing w:after="0"/>
              <w:rPr>
                <w:sz w:val="19"/>
                <w:szCs w:val="19"/>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71.31%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2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80" w:type="dxa"/>
            <w:vAlign w:val="bottom"/>
            <w:tcBorders>
              <w:top w:val="single" w:sz="8" w:color="CCEEFF"/>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7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as well as in foreign jurisdictions and is subject to examination by the various taxing authorities.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benefit of approximately $3,572 thousand for the period from March 15, 2023, to December 31, 2023 (Successor). The Company recorded an income tax expense of approximately $153 thousand for the year ended December 31, 2022 (Predecessor) and none for the period from January 1, 2023 to March 14, 2023 (Predecessor).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year ended December 31, 2023 (Successor) was 6.76%. The income tax benefit for the year ended December 31, 2023 (Successor) is a result of the release of valuation allowance attributable to acquired intangible assets from the Business Combination. The effective tax rate differs from the U.S. Federal statutory rate primarily due to reversal of a valuation allowance on deferred tax assets, impairment of goodwill, and changes in fair value of warrant liabilities. The Company generated approximately $4,217 thousand of deferred tax liability associated with the Business Combination. As a result, the Company released its valuation allowance to the extent of such DTL (being source of taxable in future).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NOTE 15 – Credit Risk and Concentrations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the Company to credit risk consist principally of trade accounts receivable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customers and, based upon factors surrounding the credit risk of its customers, establishes an allowance for credit losses and, consequently, believes that its accounts receivable credit risk exposure beyond such allowances is limited.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maintains cash deposits with financial institutions, which, from time to time, may exceed federally insured limits. Any loss incurred or a lack of access to such funds could have a significant adverse impact on the Company’s financial condition, results of operations, and cash flows. Cash is also maintained at foreign financial institutions for its Canadian and Philippines subsidiaries. Cash in foreign financial institutions as of December 31, 2023 (Successor) was $300 thousand. Cash in foreign financial institutions as of December 31, 2022 (Predecessor) was not significant. The Company has not experienced any losses and believes it is not exposed to any significant credit risk from cash. However, any loss incurred or lack of access to such funds could have a significant impact on the Company’s financial condition, results of operations, and cash flows.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top three customers accounted for approximately 22% and 27% of our gross revenue during the years ended December 31, 2023 and 2022, respectively. One customer accounted for 12% of our gross revenue in 2023, and a separate customer accounted for 11% of our gross revenue in 2022; however, each of these customers may or may not continue to be a significant contributor to revenue in 2024. The loss of a significant amount of business from one of our major customers would materially and adversely affect our results of operations until such time, if ever, as we are able to replace the lost business. Significant customers or projects in any one period may not continue to be significant customers or projects in other periods. To the extent that we are dependent on any single customer, we are subject to the risks faced by that customer to the extent that such risks impede the customer’s ability to stay in business and make timely payments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Foreign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operations are located primarily in the United States, Canada, and the Philippines. Revenues by geographic area are attributed by country of domicile of the Company’s subsidiaries. The financial data by geographic area are as follows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United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States</w:t>
            </w: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Canada</w:t>
            </w:r>
          </w:p>
        </w:tc>
        <w:tc>
          <w:tcPr>
            <w:tcW w:w="20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India</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Philippines</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55"/>
        </w:trPr>
        <w:tc>
          <w:tcPr>
            <w:tcW w:w="4480" w:type="dxa"/>
            <w:vAlign w:val="bottom"/>
            <w:tcBorders>
              <w:top w:val="single" w:sz="8" w:color="CCEEFF"/>
              <w:bottom w:val="single" w:sz="8" w:color="auto"/>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For the Period from March 15, 2023 to December 31, 2023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6"/>
        </w:trPr>
        <w:tc>
          <w:tcPr>
            <w:tcW w:w="160" w:type="dxa"/>
            <w:vAlign w:val="bottom"/>
            <w:shd w:val="clear" w:color="auto" w:fill="CCEEFF"/>
          </w:tcPr>
          <w:p>
            <w:pPr>
              <w:spacing w:after="0"/>
              <w:rPr>
                <w:sz w:val="17"/>
                <w:szCs w:val="17"/>
                <w:color w:val="auto"/>
              </w:rPr>
            </w:pPr>
          </w:p>
        </w:tc>
        <w:tc>
          <w:tcPr>
            <w:tcW w:w="4460" w:type="dxa"/>
            <w:vAlign w:val="bottom"/>
            <w:gridSpan w:val="8"/>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Revenues by geographic area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5,746</w:t>
            </w:r>
          </w:p>
        </w:tc>
      </w:tr>
      <w:tr>
        <w:trPr>
          <w:trHeight w:val="216"/>
        </w:trPr>
        <w:tc>
          <w:tcPr>
            <w:tcW w:w="46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by geographic area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(48,208)</w:t>
            </w:r>
          </w:p>
        </w:tc>
      </w:tr>
      <w:tr>
        <w:trPr>
          <w:trHeight w:val="234"/>
        </w:trPr>
        <w:tc>
          <w:tcPr>
            <w:tcW w:w="4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Net income (loss) by geographic area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(47,073)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(49,238)</w:t>
            </w:r>
          </w:p>
        </w:tc>
      </w:tr>
      <w:tr>
        <w:trPr>
          <w:trHeight w:val="205"/>
        </w:trPr>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46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For the Period from January 1, 2023 to March 14, 2023</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160" w:type="dxa"/>
            <w:vAlign w:val="bottom"/>
            <w:tcBorders>
              <w:top w:val="single" w:sz="8" w:color="auto"/>
            </w:tcBorders>
            <w:shd w:val="clear" w:color="auto" w:fill="CCEEFF"/>
          </w:tcPr>
          <w:p>
            <w:pPr>
              <w:spacing w:after="0"/>
              <w:rPr>
                <w:sz w:val="17"/>
                <w:szCs w:val="17"/>
                <w:color w:val="auto"/>
              </w:rPr>
            </w:pPr>
          </w:p>
        </w:tc>
        <w:tc>
          <w:tcPr>
            <w:tcW w:w="4080" w:type="dxa"/>
            <w:vAlign w:val="bottom"/>
            <w:tcBorders>
              <w:top w:val="single" w:sz="8" w:color="auto"/>
            </w:tcBorders>
            <w:gridSpan w:val="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(Predecessor):</w:t>
            </w:r>
          </w:p>
        </w:tc>
        <w:tc>
          <w:tcPr>
            <w:tcW w:w="38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Revenues by geographic area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w:t>
            </w:r>
          </w:p>
        </w:tc>
      </w:tr>
      <w:tr>
        <w:trPr>
          <w:trHeight w:val="216"/>
        </w:trPr>
        <w:tc>
          <w:tcPr>
            <w:tcW w:w="46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by geographic area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(4,381)</w:t>
            </w:r>
          </w:p>
        </w:tc>
      </w:tr>
      <w:tr>
        <w:trPr>
          <w:trHeight w:val="234"/>
        </w:trPr>
        <w:tc>
          <w:tcPr>
            <w:tcW w:w="4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Net income (loss) by geographic area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(4,380)</w:t>
            </w:r>
          </w:p>
        </w:tc>
      </w:tr>
      <w:tr>
        <w:trPr>
          <w:trHeight w:val="198"/>
        </w:trPr>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For the Year Ended December 31, 2022 (Predecessor):</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Revenues by geographic area</w:t>
            </w:r>
          </w:p>
        </w:tc>
        <w:tc>
          <w:tcPr>
            <w:tcW w:w="520" w:type="dxa"/>
            <w:vAlign w:val="bottom"/>
            <w:tcBorders>
              <w:top w:val="single" w:sz="8" w:color="CCEEFF"/>
            </w:tcBorders>
            <w:gridSpan w:val="3"/>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7,011</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2,061</w:t>
            </w:r>
          </w:p>
        </w:tc>
        <w:tc>
          <w:tcPr>
            <w:tcW w:w="200" w:type="dxa"/>
            <w:vAlign w:val="bottom"/>
            <w:tcBorders>
              <w:top w:val="single" w:sz="8" w:color="CCEEFF"/>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1,345</w:t>
            </w:r>
          </w:p>
        </w:tc>
        <w:tc>
          <w:tcPr>
            <w:tcW w:w="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(2,113)</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8,470</w:t>
            </w:r>
          </w:p>
        </w:tc>
      </w:tr>
      <w:tr>
        <w:trPr>
          <w:trHeight w:val="216"/>
        </w:trPr>
        <w:tc>
          <w:tcPr>
            <w:tcW w:w="46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by geographic area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(7,163)</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(29,025)</w:t>
            </w:r>
          </w:p>
        </w:tc>
      </w:tr>
      <w:tr>
        <w:trPr>
          <w:trHeight w:val="234"/>
        </w:trPr>
        <w:tc>
          <w:tcPr>
            <w:tcW w:w="4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Net income (loss) by geographic area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(21,774)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(29,175)</w:t>
            </w:r>
          </w:p>
        </w:tc>
      </w:tr>
      <w:tr>
        <w:trPr>
          <w:trHeight w:val="198"/>
        </w:trPr>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82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 of December 31, 2023 (Successor)</w:t>
            </w:r>
          </w:p>
        </w:tc>
        <w:tc>
          <w:tcPr>
            <w:tcW w:w="1800" w:type="dxa"/>
            <w:vAlign w:val="bottom"/>
            <w:tcBorders>
              <w:bottom w:val="single" w:sz="8" w:color="CCEEFF"/>
            </w:tcBorders>
            <w:gridSpan w:val="5"/>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Identifiable assets by geographic area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38,143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36,581</w:t>
            </w:r>
          </w:p>
        </w:tc>
      </w:tr>
      <w:tr>
        <w:trPr>
          <w:trHeight w:val="216"/>
        </w:trPr>
        <w:tc>
          <w:tcPr>
            <w:tcW w:w="46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lived assets by geographic area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18,737</w:t>
            </w:r>
          </w:p>
        </w:tc>
      </w:tr>
      <w:tr>
        <w:trPr>
          <w:trHeight w:val="234"/>
        </w:trPr>
        <w:tc>
          <w:tcPr>
            <w:tcW w:w="4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Goodwill by geographic area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8,737</w:t>
            </w:r>
          </w:p>
        </w:tc>
      </w:tr>
      <w:tr>
        <w:trPr>
          <w:trHeight w:val="205"/>
        </w:trPr>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43"/>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980" w:type="dxa"/>
            <w:vAlign w:val="bottom"/>
            <w:tcBorders>
              <w:bottom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 of December 31, 2022 (Predecessor)</w:t>
            </w:r>
          </w:p>
        </w:tc>
        <w:tc>
          <w:tcPr>
            <w:tcW w:w="1640" w:type="dxa"/>
            <w:vAlign w:val="bottom"/>
            <w:tcBorders>
              <w:bottom w:val="single" w:sz="8" w:color="CCEEFF"/>
            </w:tcBorders>
            <w:gridSpan w:val="4"/>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Identifiable assets by geographic area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29,280</w:t>
            </w:r>
          </w:p>
        </w:tc>
      </w:tr>
      <w:tr>
        <w:trPr>
          <w:trHeight w:val="216"/>
        </w:trPr>
        <w:tc>
          <w:tcPr>
            <w:tcW w:w="46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lived assets by geographic area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20,659</w:t>
            </w:r>
          </w:p>
        </w:tc>
      </w:tr>
      <w:tr>
        <w:trPr>
          <w:trHeight w:val="234"/>
        </w:trPr>
        <w:tc>
          <w:tcPr>
            <w:tcW w:w="4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Goodwill by geographic area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42"/>
        </w:trPr>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F-32</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NOTE 17 – 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administrative offices in Canada, the Philippines, and the United States. The Manila, Philippines office lease expires in May 2025, the Canada lease expires in May 2026, and the United States office lease expires in April 2024. The Company has no other operating or financing leases with terms greater than 12 months.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recorded on the balance sheet is based on the future minimum lease payments recognized on a straight-line basis over the term of the lease plus any variable lease costs. Operating lease expenses, inclusive of short-term and variable lease expenses, recognized in the Company’s consolidated statement of operations for the period from March 15, 2023 to December 31, 2023 (Successor), for the period from January 1, 2023 to March 14, 2023 (Predecessor), and for the year ended December 31, 2022 (Predecessor) was approximately $345 thousand, $57 thousand, and $681 thousand,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ASC 842 “Leases” (“ASC 842”). As of December 31, 2023, the weighted average remaining lease term is 1.4 years and the weighted average discount rate used to determine the operating lease liabilities was 8.0%. As of December 31, 2022, the weighted average remaining lease term is 2.82 years and the weighted average discount rate used to determine the operating lease liabilities was 8.0%.</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w:t>
            </w:r>
          </w:p>
        </w:tc>
        <w:tc>
          <w:tcPr>
            <w:tcW w:w="120" w:type="dxa"/>
            <w:vAlign w:val="bottom"/>
          </w:tcPr>
          <w:p>
            <w:pPr>
              <w:spacing w:after="0"/>
              <w:rPr>
                <w:sz w:val="20"/>
                <w:szCs w:val="20"/>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09"/>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2024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2025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r>
      <w:tr>
        <w:trPr>
          <w:trHeight w:val="23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2026</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r>
      <w:tr>
        <w:trPr>
          <w:trHeight w:val="209"/>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Various social and political circumstances in the United States and around the world (including wars and other forms of conflict, including rising trade tensions between the United States and China, and other uncertainties regarding actual and potential shifts in the United States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United States and worldwide. Specifically, the rising conflict between Russia and Ukraine, and resulting market volatility could adversely affect the value of the Company’s securities. In response to the conflict between Russia and Ukraine, the United States and other countries have imposed sanctions or other restrictive actions against Russia. Any of the above factors, including sanctions, export controls, tariffs, trade wars and other governmental actions, could have a material adverse effect on the value of the Company’s securities.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these types of risks and has concluded that while it is reasonably possible that these risks and uncertainties could have a negative effect on the Company’s financial position and results of its operations, the specific impact is not readily determinable as of the date of these consolidated financial statements. The consolidated financial statements do not include any adjustments that might result from the outcome of this uncertainty.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guarantees would be disclosed. There can be no assurance that such matters will not materially and adversely affect the Company’s business, financial position, and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Supplementary Financial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Quarterly Financial Information (unaudited)—The quarterly results for the years ended December 31, 2023 and 2022 are summarized below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Period</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Period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4"/>
              </w:rPr>
              <w:t>from</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15,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140" w:type="dxa"/>
            <w:vAlign w:val="bottom"/>
          </w:tcPr>
          <w:p>
            <w:pPr>
              <w:spacing w:after="0"/>
              <w:rPr>
                <w:sz w:val="18"/>
                <w:szCs w:val="18"/>
                <w:color w:val="auto"/>
              </w:rPr>
            </w:pPr>
          </w:p>
        </w:tc>
        <w:tc>
          <w:tcPr>
            <w:tcW w:w="90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0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20" w:type="dxa"/>
            <w:vAlign w:val="bottom"/>
          </w:tcPr>
          <w:p>
            <w:pPr>
              <w:spacing w:after="0"/>
              <w:rPr>
                <w:sz w:val="18"/>
                <w:szCs w:val="18"/>
                <w:color w:val="auto"/>
              </w:rPr>
            </w:pPr>
          </w:p>
        </w:tc>
        <w:tc>
          <w:tcPr>
            <w:tcW w:w="9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14,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0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0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8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1,412</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right w:val="single" w:sz="8" w:color="auto"/>
            </w:tcBorders>
          </w:tcPr>
          <w:p>
            <w:pPr>
              <w:spacing w:after="0"/>
              <w:rPr>
                <w:sz w:val="18"/>
                <w:szCs w:val="18"/>
                <w:color w:val="auto"/>
              </w:rPr>
            </w:pPr>
          </w:p>
        </w:tc>
        <w:tc>
          <w:tcPr>
            <w:tcW w:w="12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5,615</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1,441</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(14,730)</w:t>
            </w:r>
          </w:p>
        </w:tc>
        <w:tc>
          <w:tcPr>
            <w:tcW w:w="1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2,758</w:t>
            </w:r>
          </w:p>
        </w:tc>
        <w:tc>
          <w:tcPr>
            <w:tcW w:w="120" w:type="dxa"/>
            <w:vAlign w:val="bottom"/>
            <w:tcBorders>
              <w:right w:val="single" w:sz="8" w:color="auto"/>
            </w:tcBorders>
            <w:shd w:val="clear" w:color="auto" w:fill="CCEEFF"/>
          </w:tcPr>
          <w:p>
            <w:pPr>
              <w:spacing w:after="0"/>
              <w:rPr>
                <w:sz w:val="18"/>
                <w:szCs w:val="18"/>
                <w:color w:val="auto"/>
              </w:rPr>
            </w:pPr>
          </w:p>
        </w:tc>
        <w:tc>
          <w:tcPr>
            <w:tcW w:w="12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(4,380)</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(42,580)</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common stock</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15,254,389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10,818,459</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8,582,699</w:t>
            </w:r>
          </w:p>
        </w:tc>
        <w:tc>
          <w:tcPr>
            <w:tcW w:w="1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8,582,699</w:t>
            </w:r>
          </w:p>
        </w:tc>
        <w:tc>
          <w:tcPr>
            <w:tcW w:w="120" w:type="dxa"/>
            <w:vAlign w:val="bottom"/>
            <w:tcBorders>
              <w:right w:val="single" w:sz="8" w:color="auto"/>
            </w:tcBorders>
            <w:shd w:val="clear" w:color="auto" w:fill="CCEEFF"/>
          </w:tcPr>
          <w:p>
            <w:pPr>
              <w:spacing w:after="0"/>
              <w:rPr>
                <w:sz w:val="20"/>
                <w:szCs w:val="20"/>
                <w:color w:val="auto"/>
              </w:rPr>
            </w:pPr>
          </w:p>
        </w:tc>
        <w:tc>
          <w:tcPr>
            <w:tcW w:w="1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Class A</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0.13</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right w:val="single" w:sz="8" w:color="auto"/>
            </w:tcBorders>
          </w:tcPr>
          <w:p>
            <w:pPr>
              <w:spacing w:after="0"/>
              <w:rPr>
                <w:sz w:val="20"/>
                <w:szCs w:val="20"/>
                <w:color w:val="auto"/>
              </w:rPr>
            </w:pPr>
          </w:p>
        </w:tc>
        <w:tc>
          <w:tcPr>
            <w:tcW w:w="12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 common stock</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5,487,300</w:t>
            </w:r>
          </w:p>
        </w:tc>
        <w:tc>
          <w:tcPr>
            <w:tcW w:w="1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5,487,300</w:t>
            </w:r>
          </w:p>
        </w:tc>
        <w:tc>
          <w:tcPr>
            <w:tcW w:w="120" w:type="dxa"/>
            <w:vAlign w:val="bottom"/>
            <w:tcBorders>
              <w:right w:val="single" w:sz="8" w:color="auto"/>
            </w:tcBorders>
            <w:shd w:val="clear" w:color="auto" w:fill="CCEEFF"/>
          </w:tcPr>
          <w:p>
            <w:pPr>
              <w:spacing w:after="0"/>
              <w:rPr>
                <w:sz w:val="20"/>
                <w:szCs w:val="20"/>
                <w:color w:val="auto"/>
              </w:rPr>
            </w:pPr>
          </w:p>
        </w:tc>
        <w:tc>
          <w:tcPr>
            <w:tcW w:w="1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Class C</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right w:val="single" w:sz="8" w:color="auto"/>
            </w:tcBorders>
          </w:tcPr>
          <w:p>
            <w:pPr>
              <w:spacing w:after="0"/>
              <w:rPr>
                <w:sz w:val="20"/>
                <w:szCs w:val="20"/>
                <w:color w:val="auto"/>
              </w:rPr>
            </w:pPr>
          </w:p>
        </w:tc>
        <w:tc>
          <w:tcPr>
            <w:tcW w:w="12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Fourth</w:t>
            </w:r>
          </w:p>
        </w:tc>
        <w:tc>
          <w:tcPr>
            <w:tcW w:w="140" w:type="dxa"/>
            <w:vAlign w:val="bottom"/>
          </w:tcPr>
          <w:p>
            <w:pPr>
              <w:spacing w:after="0"/>
              <w:rPr>
                <w:sz w:val="16"/>
                <w:szCs w:val="16"/>
                <w:color w:val="auto"/>
              </w:rPr>
            </w:pPr>
          </w:p>
        </w:tc>
        <w:tc>
          <w:tcPr>
            <w:tcW w:w="900" w:type="dxa"/>
            <w:vAlign w:val="bottom"/>
            <w:gridSpan w:val="2"/>
          </w:tcPr>
          <w:p>
            <w:pPr>
              <w:jc w:val="center"/>
              <w:ind w:left="150"/>
              <w:spacing w:after="0" w:line="188" w:lineRule="exact"/>
              <w:rPr>
                <w:sz w:val="20"/>
                <w:szCs w:val="20"/>
                <w:color w:val="auto"/>
              </w:rPr>
            </w:pPr>
            <w:r>
              <w:rPr>
                <w:rFonts w:ascii="Times New Roman" w:cs="Times New Roman" w:eastAsia="Times New Roman" w:hAnsi="Times New Roman"/>
                <w:sz w:val="18"/>
                <w:szCs w:val="18"/>
                <w:b w:val="1"/>
                <w:bCs w:val="1"/>
                <w:color w:val="auto"/>
              </w:rPr>
              <w:t>Third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7"/>
          </w:tcPr>
          <w:p>
            <w:pPr>
              <w:jc w:val="right"/>
              <w:ind w:right="720"/>
              <w:spacing w:after="0" w:line="188" w:lineRule="exact"/>
              <w:rPr>
                <w:sz w:val="20"/>
                <w:szCs w:val="20"/>
                <w:color w:val="auto"/>
              </w:rPr>
            </w:pPr>
            <w:r>
              <w:rPr>
                <w:rFonts w:ascii="Times New Roman" w:cs="Times New Roman" w:eastAsia="Times New Roman" w:hAnsi="Times New Roman"/>
                <w:sz w:val="18"/>
                <w:szCs w:val="18"/>
                <w:b w:val="1"/>
                <w:bCs w:val="1"/>
                <w:color w:val="auto"/>
              </w:rPr>
              <w:t>Second</w:t>
            </w:r>
          </w:p>
        </w:tc>
        <w:tc>
          <w:tcPr>
            <w:tcW w:w="120" w:type="dxa"/>
            <w:vAlign w:val="bottom"/>
          </w:tcPr>
          <w:p>
            <w:pPr>
              <w:spacing w:after="0"/>
              <w:rPr>
                <w:sz w:val="16"/>
                <w:szCs w:val="16"/>
                <w:color w:val="auto"/>
              </w:rPr>
            </w:pPr>
          </w:p>
        </w:tc>
        <w:tc>
          <w:tcPr>
            <w:tcW w:w="760" w:type="dxa"/>
            <w:vAlign w:val="bottom"/>
            <w:gridSpan w:val="2"/>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First</w:t>
            </w:r>
          </w:p>
        </w:tc>
        <w:tc>
          <w:tcPr>
            <w:tcW w:w="44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50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 w:type="dxa"/>
            <w:vAlign w:val="bottom"/>
          </w:tcPr>
          <w:p>
            <w:pPr>
              <w:spacing w:after="0"/>
              <w:rPr>
                <w:sz w:val="20"/>
                <w:szCs w:val="20"/>
                <w:color w:val="auto"/>
              </w:rPr>
            </w:pPr>
          </w:p>
        </w:tc>
        <w:tc>
          <w:tcPr>
            <w:tcW w:w="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3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18"/>
                <w:szCs w:val="18"/>
                <w:color w:val="auto"/>
              </w:rPr>
            </w:pPr>
          </w:p>
        </w:tc>
        <w:tc>
          <w:tcPr>
            <w:tcW w:w="15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1,243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6,406</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w:t>
            </w:r>
          </w:p>
        </w:tc>
        <w:tc>
          <w:tcPr>
            <w:tcW w:w="1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(5,541)</w:t>
            </w:r>
          </w:p>
        </w:tc>
        <w:tc>
          <w:tcPr>
            <w:tcW w:w="15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(29,175)</w:t>
            </w:r>
          </w:p>
        </w:tc>
      </w:tr>
      <w:tr>
        <w:trPr>
          <w:trHeight w:val="560"/>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F-34</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December 31, 2023 up to the date that the consolidated financial statements were issued.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3, 2024, the Company decided to streamline operations with a reorganization to drive efficiency using advanced technologies and a regional product and engineering support model. The Company is fully committed to all of its existing products and customers as well as its roadmap of AI based analytics and applications. As a result of this realignment, the Company expects operational efficiencies in excess of 25% as well as enhanced customer experiences moving forward.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realignment described above, on January 3, 2024, it was determined that Leon Papkoff, Chief Product Officer, will separate from the Company effective January 4, 2024. The decision was not the result of any disagreement with the Company on any matter relating to the Company’s operations, policies or practices. Mr. Papkoff’s separation from employment will be treated per his employment agreement with the Company dated March 29, 2023.</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18, 2024, the Company received a notice (the “Notice”) from The Nasdaq Stock Market LLC (“Nasdaq”) notifying the Company that, because the Company is delinquent in filing its 2023 Form 10-K, the Company no longer complies with Nasdaq Listing Rule 5250(c)(1) (the “Listing Rule”), which requires companies with securities listed on Nasdaq to timely file all required periodic reports with the SEC.</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Nasdaq’s listing rules, the Company has 60 calendar days after the Notice to submit a plan of compliance (the “Plan”) to Nasdaq addressing how the Company intends to regain compliance with Nasdaq’s listing rules, and Nasdaq has the discretion to grant the Company up to 180 calendar days from the due date of the 2023 Form 10-K, or October 14, 2024, to regain compliance. The Company intends to submit the Plan and take the necessary steps to regain compliance with Nasdaq’s listing rules as soon as practicable.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22, 2024, the Company entered into an equity line financing agreement for up to $10,000 thousand, with an initial draw of $2,500 thousand in the second quarter of 2024.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ind w:left="972" w:hanging="324"/>
        <w:spacing w:after="0" w:line="282" w:lineRule="auto"/>
        <w:tabs>
          <w:tab w:leader="none" w:pos="9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Annual Report on Form 10-K.</w:t>
      </w:r>
    </w:p>
    <w:p>
      <w:pPr>
        <w:sectPr>
          <w:pgSz w:w="11900" w:h="16838" w:orient="portrait"/>
          <w:cols w:equalWidth="0" w:num="1">
            <w:col w:w="11232"/>
          </w:cols>
          <w:pgMar w:left="328" w:top="769" w:right="339" w:bottom="1440" w:gutter="0" w:footer="0" w:header="0"/>
        </w:sectPr>
      </w:pPr>
    </w:p>
    <w:p>
      <w:pPr>
        <w:spacing w:after="0" w:line="165" w:lineRule="exact"/>
        <w:rPr>
          <w:sz w:val="20"/>
          <w:szCs w:val="20"/>
          <w:color w:val="auto"/>
        </w:rPr>
      </w:pPr>
    </w:p>
    <w:p>
      <w:pPr>
        <w:ind w:left="312"/>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29"/>
          <w:szCs w:val="29"/>
          <w:color w:val="auto"/>
          <w:vertAlign w:val="superscript"/>
        </w:rPr>
        <w:t>(1)</w:t>
      </w:r>
    </w:p>
    <w:p>
      <w:pPr>
        <w:spacing w:after="0" w:line="99" w:lineRule="exact"/>
        <w:rPr>
          <w:sz w:val="20"/>
          <w:szCs w:val="20"/>
          <w:color w:val="auto"/>
        </w:rPr>
      </w:pPr>
    </w:p>
    <w:p>
      <w:pPr>
        <w:ind w:left="312"/>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29"/>
          <w:szCs w:val="29"/>
          <w:color w:val="auto"/>
          <w:vertAlign w:val="superscript"/>
        </w:rPr>
        <w:t>(1)</w:t>
      </w:r>
    </w:p>
    <w:p>
      <w:pPr>
        <w:spacing w:after="0" w:line="99" w:lineRule="exact"/>
        <w:rPr>
          <w:sz w:val="20"/>
          <w:szCs w:val="20"/>
          <w:color w:val="auto"/>
        </w:rPr>
      </w:pPr>
    </w:p>
    <w:p>
      <w:pPr>
        <w:ind w:left="312"/>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29"/>
          <w:szCs w:val="29"/>
          <w:color w:val="auto"/>
          <w:vertAlign w:val="superscript"/>
        </w:rPr>
        <w:t>(1)</w:t>
      </w:r>
    </w:p>
    <w:p>
      <w:pPr>
        <w:spacing w:after="0" w:line="38" w:lineRule="exact"/>
        <w:rPr>
          <w:sz w:val="20"/>
          <w:szCs w:val="20"/>
          <w:color w:val="auto"/>
        </w:rPr>
      </w:pPr>
    </w:p>
    <w:p>
      <w:pPr>
        <w:ind w:left="312"/>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29"/>
          <w:szCs w:val="29"/>
          <w:color w:val="auto"/>
          <w:vertAlign w:val="superscript"/>
        </w:rPr>
        <w:t>(2)</w:t>
      </w:r>
    </w:p>
    <w:p>
      <w:pPr>
        <w:jc w:val="center"/>
        <w:ind w:left="92"/>
        <w:spacing w:after="0" w:line="184" w:lineRule="auto"/>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color w:val="auto"/>
        </w:rPr>
        <w:t>4.1</w:t>
      </w:r>
    </w:p>
    <w:p>
      <w:pPr>
        <w:spacing w:after="0" w:line="148" w:lineRule="exact"/>
        <w:rPr>
          <w:sz w:val="20"/>
          <w:szCs w:val="20"/>
          <w:color w:val="auto"/>
        </w:rPr>
      </w:pPr>
    </w:p>
    <w:p>
      <w:pPr>
        <w:ind w:left="312"/>
        <w:spacing w:after="0"/>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29"/>
          <w:szCs w:val="29"/>
          <w:color w:val="auto"/>
          <w:vertAlign w:val="superscript"/>
        </w:rPr>
        <w:t>(2)</w:t>
      </w:r>
    </w:p>
    <w:p>
      <w:pPr>
        <w:ind w:left="312"/>
        <w:spacing w:after="0" w:line="184" w:lineRule="auto"/>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29"/>
          <w:szCs w:val="29"/>
          <w:color w:val="auto"/>
          <w:vertAlign w:val="superscript"/>
        </w:rPr>
        <w:t>(2)</w:t>
      </w:r>
    </w:p>
    <w:p>
      <w:pPr>
        <w:ind w:left="312"/>
        <w:spacing w:after="0" w:line="185" w:lineRule="auto"/>
        <w:rPr>
          <w:sz w:val="20"/>
          <w:szCs w:val="20"/>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29"/>
          <w:szCs w:val="29"/>
          <w:color w:val="auto"/>
          <w:vertAlign w:val="superscript"/>
        </w:rPr>
        <w:t>(2)</w:t>
      </w:r>
    </w:p>
    <w:p>
      <w:pPr>
        <w:ind w:left="312"/>
        <w:spacing w:after="0" w:line="184" w:lineRule="auto"/>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29"/>
          <w:szCs w:val="29"/>
          <w:color w:val="auto"/>
          <w:vertAlign w:val="superscript"/>
        </w:rPr>
        <w:t>(*)</w:t>
      </w:r>
    </w:p>
    <w:p>
      <w:pPr>
        <w:jc w:val="center"/>
        <w:ind w:left="92"/>
        <w:spacing w:after="0" w:line="184" w:lineRule="auto"/>
        <w:rPr>
          <w:sz w:val="20"/>
          <w:szCs w:val="20"/>
          <w:color w:val="auto"/>
        </w:rPr>
      </w:pPr>
      <w:r>
        <w:rPr>
          <w:rFonts w:ascii="Times New Roman" w:cs="Times New Roman" w:eastAsia="Times New Roman" w:hAnsi="Times New Roman"/>
          <w:sz w:val="29"/>
          <w:szCs w:val="29"/>
          <w:color w:val="auto"/>
          <w:vertAlign w:val="subscript"/>
        </w:rPr>
        <w:t>10.1</w:t>
      </w:r>
      <w:r>
        <w:rPr>
          <w:rFonts w:ascii="Times New Roman" w:cs="Times New Roman" w:eastAsia="Times New Roman" w:hAnsi="Times New Roman"/>
          <w:sz w:val="13"/>
          <w:szCs w:val="13"/>
          <w:color w:val="auto"/>
        </w:rPr>
        <w:t>(2)(#)</w:t>
      </w:r>
    </w:p>
    <w:p>
      <w:pPr>
        <w:ind w:left="252"/>
        <w:spacing w:after="0" w:line="185" w:lineRule="auto"/>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29"/>
          <w:szCs w:val="29"/>
          <w:color w:val="auto"/>
          <w:vertAlign w:val="superscript"/>
        </w:rPr>
        <w:t>(2)</w:t>
      </w:r>
    </w:p>
    <w:p>
      <w:pPr>
        <w:ind w:left="252"/>
        <w:spacing w:after="0" w:line="185" w:lineRule="auto"/>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29"/>
          <w:szCs w:val="29"/>
          <w:color w:val="auto"/>
          <w:vertAlign w:val="superscript"/>
        </w:rPr>
        <w:t>(2)</w:t>
      </w:r>
    </w:p>
    <w:p>
      <w:pPr>
        <w:jc w:val="center"/>
        <w:ind w:left="92"/>
        <w:spacing w:after="0" w:line="184" w:lineRule="auto"/>
        <w:rPr>
          <w:sz w:val="20"/>
          <w:szCs w:val="20"/>
          <w:color w:val="auto"/>
        </w:rPr>
      </w:pPr>
      <w:r>
        <w:rPr>
          <w:rFonts w:ascii="Times New Roman" w:cs="Times New Roman" w:eastAsia="Times New Roman" w:hAnsi="Times New Roman"/>
          <w:sz w:val="29"/>
          <w:szCs w:val="29"/>
          <w:color w:val="auto"/>
          <w:vertAlign w:val="subscript"/>
        </w:rPr>
        <w:t>10.4</w:t>
      </w:r>
      <w:r>
        <w:rPr>
          <w:rFonts w:ascii="Times New Roman" w:cs="Times New Roman" w:eastAsia="Times New Roman" w:hAnsi="Times New Roman"/>
          <w:sz w:val="13"/>
          <w:szCs w:val="13"/>
          <w:color w:val="auto"/>
        </w:rPr>
        <w:t>(2)(#)</w:t>
      </w:r>
    </w:p>
    <w:p>
      <w:pPr>
        <w:ind w:left="252"/>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29"/>
          <w:szCs w:val="29"/>
          <w:color w:val="auto"/>
          <w:vertAlign w:val="superscript"/>
        </w:rPr>
        <w:t>(#)</w:t>
      </w:r>
    </w:p>
    <w:p>
      <w:pPr>
        <w:spacing w:after="0" w:line="84" w:lineRule="exact"/>
        <w:rPr>
          <w:sz w:val="20"/>
          <w:szCs w:val="20"/>
          <w:color w:val="auto"/>
        </w:rPr>
      </w:pPr>
    </w:p>
    <w:p>
      <w:pPr>
        <w:ind w:left="252"/>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29"/>
          <w:szCs w:val="29"/>
          <w:color w:val="auto"/>
          <w:vertAlign w:val="superscript"/>
        </w:rPr>
        <w:t>(#)</w:t>
      </w:r>
    </w:p>
    <w:p>
      <w:pPr>
        <w:jc w:val="center"/>
        <w:ind w:left="92"/>
        <w:spacing w:after="0" w:line="220" w:lineRule="auto"/>
        <w:rPr>
          <w:sz w:val="20"/>
          <w:szCs w:val="20"/>
          <w:color w:val="auto"/>
        </w:rPr>
      </w:pPr>
      <w:r>
        <w:rPr>
          <w:rFonts w:ascii="Times New Roman" w:cs="Times New Roman" w:eastAsia="Times New Roman" w:hAnsi="Times New Roman"/>
          <w:sz w:val="35"/>
          <w:szCs w:val="35"/>
          <w:color w:val="auto"/>
          <w:vertAlign w:val="subscript"/>
        </w:rPr>
        <w:t>10.7</w:t>
      </w:r>
      <w:r>
        <w:rPr>
          <w:rFonts w:ascii="Times New Roman" w:cs="Times New Roman" w:eastAsia="Times New Roman" w:hAnsi="Times New Roman"/>
          <w:sz w:val="15"/>
          <w:szCs w:val="15"/>
          <w:color w:val="auto"/>
        </w:rPr>
        <w:t>(2)(#)</w:t>
      </w:r>
    </w:p>
    <w:p>
      <w:pPr>
        <w:jc w:val="center"/>
        <w:ind w:left="92"/>
        <w:spacing w:after="0" w:line="185" w:lineRule="auto"/>
        <w:rPr>
          <w:sz w:val="20"/>
          <w:szCs w:val="20"/>
          <w:color w:val="auto"/>
        </w:rPr>
      </w:pPr>
      <w:r>
        <w:rPr>
          <w:rFonts w:ascii="Times New Roman" w:cs="Times New Roman" w:eastAsia="Times New Roman" w:hAnsi="Times New Roman"/>
          <w:sz w:val="29"/>
          <w:szCs w:val="29"/>
          <w:color w:val="auto"/>
          <w:vertAlign w:val="subscript"/>
        </w:rPr>
        <w:t>10.8</w:t>
      </w:r>
      <w:r>
        <w:rPr>
          <w:rFonts w:ascii="Times New Roman" w:cs="Times New Roman" w:eastAsia="Times New Roman" w:hAnsi="Times New Roman"/>
          <w:sz w:val="13"/>
          <w:szCs w:val="13"/>
          <w:color w:val="auto"/>
        </w:rPr>
        <w:t>(*)(***)</w:t>
      </w:r>
    </w:p>
    <w:p>
      <w:pPr>
        <w:ind w:left="212"/>
        <w:spacing w:after="0" w:line="185" w:lineRule="auto"/>
        <w:rPr>
          <w:sz w:val="20"/>
          <w:szCs w:val="20"/>
          <w:color w:val="auto"/>
        </w:rPr>
      </w:pPr>
      <w:r>
        <w:rPr>
          <w:rFonts w:ascii="Times New Roman" w:cs="Times New Roman" w:eastAsia="Times New Roman" w:hAnsi="Times New Roman"/>
          <w:sz w:val="18"/>
          <w:szCs w:val="18"/>
          <w:color w:val="auto"/>
        </w:rPr>
        <w:t>14.01</w:t>
      </w:r>
      <w:r>
        <w:rPr>
          <w:rFonts w:ascii="Times New Roman" w:cs="Times New Roman" w:eastAsia="Times New Roman" w:hAnsi="Times New Roman"/>
          <w:sz w:val="29"/>
          <w:szCs w:val="29"/>
          <w:color w:val="auto"/>
          <w:vertAlign w:val="superscript"/>
        </w:rPr>
        <w:t>(2)</w:t>
      </w:r>
    </w:p>
    <w:p>
      <w:pPr>
        <w:ind w:left="252"/>
        <w:spacing w:after="0" w:line="185" w:lineRule="auto"/>
        <w:rPr>
          <w:sz w:val="20"/>
          <w:szCs w:val="20"/>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29"/>
          <w:szCs w:val="29"/>
          <w:color w:val="auto"/>
          <w:vertAlign w:val="superscript"/>
        </w:rPr>
        <w:t>(*)</w:t>
      </w:r>
    </w:p>
    <w:p>
      <w:pPr>
        <w:ind w:left="252"/>
        <w:spacing w:after="0" w:line="184" w:lineRule="auto"/>
        <w:rPr>
          <w:sz w:val="20"/>
          <w:szCs w:val="20"/>
          <w:color w:val="auto"/>
        </w:rPr>
      </w:pPr>
      <w:r>
        <w:rPr>
          <w:rFonts w:ascii="Times New Roman" w:cs="Times New Roman" w:eastAsia="Times New Roman" w:hAnsi="Times New Roman"/>
          <w:sz w:val="18"/>
          <w:szCs w:val="18"/>
          <w:color w:val="auto"/>
        </w:rPr>
        <w:t>23.2</w:t>
      </w:r>
      <w:r>
        <w:rPr>
          <w:rFonts w:ascii="Times New Roman" w:cs="Times New Roman" w:eastAsia="Times New Roman" w:hAnsi="Times New Roman"/>
          <w:sz w:val="29"/>
          <w:szCs w:val="29"/>
          <w:color w:val="auto"/>
          <w:vertAlign w:val="superscript"/>
        </w:rPr>
        <w:t>(*)</w:t>
      </w:r>
    </w:p>
    <w:p>
      <w:pPr>
        <w:spacing w:after="0" w:line="1" w:lineRule="exact"/>
        <w:rPr>
          <w:sz w:val="20"/>
          <w:szCs w:val="20"/>
          <w:color w:val="auto"/>
        </w:rPr>
      </w:pPr>
    </w:p>
    <w:p>
      <w:pPr>
        <w:ind w:left="252"/>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9"/>
          <w:szCs w:val="29"/>
          <w:color w:val="auto"/>
          <w:vertAlign w:val="superscript"/>
        </w:rPr>
        <w:t>(*)</w:t>
      </w:r>
    </w:p>
    <w:p>
      <w:pPr>
        <w:spacing w:after="0" w:line="83" w:lineRule="exact"/>
        <w:rPr>
          <w:sz w:val="20"/>
          <w:szCs w:val="20"/>
          <w:color w:val="auto"/>
        </w:rPr>
      </w:pPr>
    </w:p>
    <w:p>
      <w:pPr>
        <w:ind w:left="252"/>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9"/>
          <w:szCs w:val="29"/>
          <w:color w:val="auto"/>
          <w:vertAlign w:val="superscript"/>
        </w:rPr>
        <w:t>(*)</w:t>
      </w:r>
    </w:p>
    <w:p>
      <w:pPr>
        <w:spacing w:after="0" w:line="99" w:lineRule="exact"/>
        <w:rPr>
          <w:sz w:val="20"/>
          <w:szCs w:val="20"/>
          <w:color w:val="auto"/>
        </w:rPr>
      </w:pPr>
    </w:p>
    <w:p>
      <w:pPr>
        <w:ind w:left="232"/>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9"/>
          <w:szCs w:val="29"/>
          <w:color w:val="auto"/>
          <w:vertAlign w:val="superscript"/>
        </w:rPr>
        <w:t>(**)</w:t>
      </w:r>
    </w:p>
    <w:p>
      <w:pPr>
        <w:spacing w:after="0" w:line="99" w:lineRule="exact"/>
        <w:rPr>
          <w:sz w:val="20"/>
          <w:szCs w:val="20"/>
          <w:color w:val="auto"/>
        </w:rPr>
      </w:pPr>
    </w:p>
    <w:p>
      <w:pPr>
        <w:ind w:left="232"/>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9"/>
          <w:szCs w:val="29"/>
          <w:color w:val="auto"/>
          <w:vertAlign w:val="superscript"/>
        </w:rPr>
        <w:t>(**)</w:t>
      </w:r>
    </w:p>
    <w:p>
      <w:pPr>
        <w:spacing w:after="0" w:line="38" w:lineRule="exact"/>
        <w:rPr>
          <w:sz w:val="20"/>
          <w:szCs w:val="20"/>
          <w:color w:val="auto"/>
        </w:rPr>
      </w:pPr>
    </w:p>
    <w:p>
      <w:pPr>
        <w:ind w:left="252"/>
        <w:spacing w:after="0"/>
        <w:rPr>
          <w:sz w:val="20"/>
          <w:szCs w:val="20"/>
          <w:color w:val="auto"/>
        </w:rPr>
      </w:pPr>
      <w:r>
        <w:rPr>
          <w:rFonts w:ascii="Times New Roman" w:cs="Times New Roman" w:eastAsia="Times New Roman" w:hAnsi="Times New Roman"/>
          <w:sz w:val="18"/>
          <w:szCs w:val="18"/>
          <w:color w:val="auto"/>
        </w:rPr>
        <w:t>97.1</w:t>
      </w:r>
      <w:r>
        <w:rPr>
          <w:rFonts w:ascii="Times New Roman" w:cs="Times New Roman" w:eastAsia="Times New Roman" w:hAnsi="Times New Roman"/>
          <w:sz w:val="29"/>
          <w:szCs w:val="29"/>
          <w:color w:val="auto"/>
          <w:vertAlign w:val="superscript"/>
        </w:rPr>
        <w:t>(*)</w:t>
      </w:r>
    </w:p>
    <w:p>
      <w:pPr>
        <w:ind w:left="212"/>
        <w:spacing w:after="0"/>
        <w:rPr>
          <w:sz w:val="20"/>
          <w:szCs w:val="20"/>
          <w:color w:val="auto"/>
        </w:rPr>
      </w:pPr>
      <w:r>
        <w:rPr>
          <w:rFonts w:ascii="Times New Roman" w:cs="Times New Roman" w:eastAsia="Times New Roman" w:hAnsi="Times New Roman"/>
          <w:sz w:val="18"/>
          <w:szCs w:val="18"/>
          <w:color w:val="auto"/>
        </w:rPr>
        <w:t>101.INS</w:t>
      </w:r>
    </w:p>
    <w:p>
      <w:pPr>
        <w:spacing w:after="0" w:line="7"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101.SCH</w:t>
      </w:r>
    </w:p>
    <w:p>
      <w:pPr>
        <w:spacing w:after="0" w:line="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101.CAL</w:t>
      </w:r>
    </w:p>
    <w:p>
      <w:pPr>
        <w:spacing w:after="0" w:line="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101.LAB</w:t>
      </w:r>
    </w:p>
    <w:p>
      <w:pPr>
        <w:spacing w:after="0" w:line="9"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61" w:lineRule="auto"/>
        <w:rPr>
          <w:rFonts w:ascii="Times New Roman" w:cs="Times New Roman" w:eastAsia="Times New Roman" w:hAnsi="Times New Roman"/>
          <w:sz w:val="18"/>
          <w:szCs w:val="18"/>
          <w:u w:val="single" w:color="auto"/>
          <w:color w:val="0000EE"/>
        </w:rPr>
      </w:pPr>
      <w:hyperlink r:id="rId135">
        <w:r>
          <w:rPr>
            <w:rFonts w:ascii="Times New Roman" w:cs="Times New Roman" w:eastAsia="Times New Roman" w:hAnsi="Times New Roman"/>
            <w:sz w:val="18"/>
            <w:szCs w:val="18"/>
            <w:u w:val="single" w:color="auto"/>
            <w:color w:val="0000EE"/>
          </w:rPr>
          <w:t>Agreement and Plan of Merger, dated as of September 25, 2022, by and among KINS Technology Group Inc., Inpixon, CXApp Holding</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Corp. and KINS Merger Sub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-273685</wp:posOffset>
            </wp:positionV>
            <wp:extent cx="7132320" cy="274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Separation and Distribution Agreement, dated as of September 25, 2022, by and among KINS Technology Group Inc., Inpixon, CXApp</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Holding Corp. and Design Reactor,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wp:posOffset>
            </wp:positionV>
            <wp:extent cx="7132320"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Sponsor Support Agreement, dated as of September 25, 2022, by and among KINS Capital LLC, KINS Technology Group Inc., Inpixon</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and CXApp Holding Corp.</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Amended and Restated Certificate of Incorporation of the Company.</w:t>
        </w:r>
      </w:hyperlink>
    </w:p>
    <w:p>
      <w:pPr>
        <w:spacing w:after="0" w:line="4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Amended and Restated Bylaws of 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-127635</wp:posOffset>
            </wp:positionV>
            <wp:extent cx="713232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line="261" w:lineRule="auto"/>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Warrant Agreement, dated as of December 14, 2020, by and between KINS and Continental Stock Transfer &amp; Trust Company, as warrant</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agent (incorporated herein by reference from Exhibit 4.1 on KINS’ Form 8-K, filed December 21,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Specimen CXApp Inc. Class A Common Stock Certificate.</w:t>
        </w:r>
      </w:hyperlink>
    </w:p>
    <w:p>
      <w:pPr>
        <w:spacing w:after="0" w:line="4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46">
        <w:r>
          <w:rPr>
            <w:rFonts w:ascii="Times New Roman" w:cs="Times New Roman" w:eastAsia="Times New Roman" w:hAnsi="Times New Roman"/>
            <w:sz w:val="18"/>
            <w:szCs w:val="18"/>
            <w:u w:val="single" w:color="auto"/>
            <w:color w:val="0000EE"/>
          </w:rPr>
          <w:t>Specimen CXApp Inc. Class C Common Stock Certificate.</w:t>
        </w:r>
      </w:hyperlink>
    </w:p>
    <w:p>
      <w:pPr>
        <w:spacing w:after="0" w:line="5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Specimen Warrant Certificate of 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-127635</wp:posOffset>
            </wp:positionV>
            <wp:extent cx="713232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Description of the Company’s securities.</w:t>
      </w:r>
    </w:p>
    <w:p>
      <w:pPr>
        <w:spacing w:after="0" w:line="5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49">
        <w:r>
          <w:rPr>
            <w:rFonts w:ascii="Times New Roman" w:cs="Times New Roman" w:eastAsia="Times New Roman" w:hAnsi="Times New Roman"/>
            <w:sz w:val="18"/>
            <w:szCs w:val="18"/>
            <w:u w:val="single" w:color="auto"/>
            <w:color w:val="0000EE"/>
          </w:rPr>
          <w:t>Employee Matters Agreement, dated March 14, 2023, by and among KINS, KINS Merger Sub Inc., Inpixon, and Legacy CXApp.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-127635</wp:posOffset>
            </wp:positionV>
            <wp:extent cx="71323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Tax Matters Agreement, dated March 14, 2023, by and among KINS, Inpixon, and Legacy CXApp.</w:t>
        </w:r>
      </w:hyperlink>
    </w:p>
    <w:p>
      <w:pPr>
        <w:spacing w:after="0" w:line="5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52">
        <w:r>
          <w:rPr>
            <w:rFonts w:ascii="Times New Roman" w:cs="Times New Roman" w:eastAsia="Times New Roman" w:hAnsi="Times New Roman"/>
            <w:sz w:val="18"/>
            <w:szCs w:val="18"/>
            <w:u w:val="single" w:color="auto"/>
            <w:color w:val="0000EE"/>
          </w:rPr>
          <w:t>Transition Services Agreement, dated March 14, 2023, by and between Inpixon and Legacy CXApp.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-127635</wp:posOffset>
            </wp:positionV>
            <wp:extent cx="713232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Consulting Agreement, dated March 14, 2023, by and between Design Reactor, Inc. and 3AM, LLC.</w:t>
        </w:r>
      </w:hyperlink>
    </w:p>
    <w:p>
      <w:pPr>
        <w:spacing w:after="0" w:line="36" w:lineRule="exact"/>
        <w:rPr>
          <w:sz w:val="20"/>
          <w:szCs w:val="20"/>
          <w:color w:val="auto"/>
        </w:rPr>
      </w:pPr>
    </w:p>
    <w:p>
      <w:pPr>
        <w:ind w:right="20"/>
        <w:spacing w:after="0" w:line="261" w:lineRule="auto"/>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Employment Agreement, dated as of January 9, 2023, by and between Design Reactor, Inc. and Khurram Sheikh. (incorporated by</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reference to the Company’s Current Report on Form 8-K filed on March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-273685</wp:posOffset>
            </wp:positionV>
            <wp:extent cx="7132320" cy="274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right="20"/>
        <w:spacing w:after="0" w:line="250" w:lineRule="auto"/>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Employment Agreement, dated as of March 29, 2023, by and between Leon Papkoff and CXApp Inc. (incorporated by reference to the</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Company’s Current Report on Form 8-K filed on March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wp:posOffset>
            </wp:positionV>
            <wp:extent cx="713232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CXApp Inc. 2023 Equity Incentive Plan.</w:t>
        </w:r>
      </w:hyperlink>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Securities Purchase Agreement, dated as of May 22, 2024, by and between CXApp Inc. and Streeterville Capital, LLC.</w:t>
      </w:r>
    </w:p>
    <w:p>
      <w:pPr>
        <w:spacing w:after="0" w:line="5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Code of Ethics and Business Conduct of CXApp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-127635</wp:posOffset>
            </wp:positionV>
            <wp:extent cx="71323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Marcum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-127635</wp:posOffset>
            </wp:positionV>
            <wp:extent cx="713232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0000EE"/>
        </w:rPr>
        <w:t>Certification of Principal Executive Officer Pursuant to Securities Exchange Act Rules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274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Principal Financial Officer Pursuant to Securities Exchange Act Rules 13a-14(a) and 15(d)-14(a), as adopted Pursuant to Section 302 of the Sarbanes-Oxley Act of 2002.</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wp:posOffset>
            </wp:positionV>
            <wp:extent cx="7132320"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Principal Financial Officer Pursuant to 18 U.S.C. Section 1350, as adopted Pursuant to Section 906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Clawback Policy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142875</wp:posOffset>
            </wp:positionV>
            <wp:extent cx="1783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2" w:space="220"/>
            <w:col w:w="10100"/>
          </w:cols>
          <w:pgMar w:left="328" w:top="769" w:right="339" w:bottom="1440" w:gutter="0" w:footer="0" w:header="0"/>
          <w:type w:val="continuous"/>
        </w:sectPr>
      </w:pPr>
    </w:p>
    <w:p>
      <w:pPr>
        <w:spacing w:after="0" w:line="34" w:lineRule="exact"/>
        <w:rPr>
          <w:sz w:val="20"/>
          <w:szCs w:val="20"/>
          <w:color w:val="auto"/>
        </w:rPr>
      </w:pPr>
    </w:p>
    <w:p>
      <w:pPr>
        <w:ind w:left="332" w:hanging="332"/>
        <w:spacing w:after="0"/>
        <w:tabs>
          <w:tab w:leader="none" w:pos="3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Exhibits, and Schedules have been omitted.</w:t>
      </w:r>
    </w:p>
    <w:p>
      <w:pPr>
        <w:spacing w:after="0" w:line="9" w:lineRule="exact"/>
        <w:rPr>
          <w:sz w:val="20"/>
          <w:szCs w:val="20"/>
          <w:color w:val="auto"/>
        </w:rPr>
      </w:pPr>
    </w:p>
    <w:p>
      <w:pPr>
        <w:ind w:left="332" w:hanging="332"/>
        <w:spacing w:after="0"/>
        <w:tabs>
          <w:tab w:leader="none" w:pos="33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Company’s Current Report on Form 8-K filed on September 26, 2022.</w:t>
      </w:r>
    </w:p>
    <w:p>
      <w:pPr>
        <w:spacing w:after="0" w:line="20" w:lineRule="exact"/>
        <w:rPr>
          <w:rFonts w:ascii="Times New Roman" w:cs="Times New Roman" w:eastAsia="Times New Roman" w:hAnsi="Times New Roman"/>
          <w:sz w:val="17"/>
          <w:szCs w:val="17"/>
          <w:color w:val="auto"/>
        </w:rPr>
      </w:pPr>
    </w:p>
    <w:p>
      <w:pPr>
        <w:ind w:left="332" w:hanging="332"/>
        <w:spacing w:after="0"/>
        <w:tabs>
          <w:tab w:leader="none" w:pos="3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March 20, 2023.</w:t>
      </w:r>
    </w:p>
    <w:p>
      <w:pPr>
        <w:spacing w:after="0" w:line="9" w:lineRule="exact"/>
        <w:rPr>
          <w:sz w:val="20"/>
          <w:szCs w:val="20"/>
          <w:color w:val="auto"/>
        </w:rPr>
      </w:pPr>
    </w:p>
    <w:p>
      <w:pPr>
        <w:ind w:left="332" w:hanging="332"/>
        <w:spacing w:after="0"/>
        <w:tabs>
          <w:tab w:leader="none" w:pos="3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3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69"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CXAPP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24, 2024</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Khurram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35572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5640"/>
        <w:spacing w:after="0"/>
        <w:tabs>
          <w:tab w:leader="none" w:pos="6060" w:val="left"/>
        </w:tabs>
        <w:rPr>
          <w:sz w:val="20"/>
          <w:szCs w:val="20"/>
          <w:color w:val="auto"/>
        </w:rPr>
      </w:pPr>
      <w:r>
        <w:rPr>
          <w:rFonts w:ascii="Times New Roman" w:cs="Times New Roman" w:eastAsia="Times New Roman" w:hAnsi="Times New Roman"/>
          <w:sz w:val="18"/>
          <w:szCs w:val="18"/>
          <w:i w:val="1"/>
          <w:iCs w:val="1"/>
          <w:color w:val="auto"/>
        </w:rPr>
        <w:t>By:</w:t>
        <w:tab/>
        <w:t>Khurram Sheikh</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Chief Executive Officer, Interim 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and Director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Khurram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Khurram Sheikh</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Chairman, Chief Executive Officer and Director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24,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Di-Ann Eisnor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Di-Ann Eisnor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24,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Camillo Martino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24,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Mathai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George Mathai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24,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Shanti Priya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Shanti Priya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24, 2024</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material terms of CXApp Inc. (the “Company” or “CXApp”) securities is not intended to be a complete summary of the rights and preferences of such securities. You should refer to our amended and restated bylaws and our amended and restated certificate of incorporation, which are included as exhibits to our Annual Report on Form 10-K. The summary below is also qualified by reference to the provisions of the Delaware General Corporation Law,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two classes of common stock, the Class A common stock and the Class C common stock. Our authorized capital stock will consist of 210,000,000 shares, $0.0001 par value per share, of which: 200,000,000 shares will be designated as Class A common stock; and 10,000,000 shares will be designated as Class C common stock. As of May 20, 2024, our issued and outstanding share capital consisted of: (i) 15,254,389 shares of common stock, held of record by approximately 93 holders, (ii) 0 shares of preferred stock and (iii) 21,031,862 warrants (as defined below). Such numbers do not include DTC participants or beneficial owners holding shares through nominee names.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 Delaware common law also imposes a solvency requirement in connection with the payment of dividends.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of any holders of any outstanding series of preferred stock, the holders of common stock will be entitled to the payment of dividends on the common stock when, as and if declared by the CXApp board of directors (“Board”) in accordance with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common stock will be entitled to one vote for each share held as of the record date for determining stockholders entitled to vote on such matters, except as otherwise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rights and preferences of any holders of any shares of any outstanding series of preferred stock, in the event of any liquidation, dissolution or winding up of CXApp, the funds and assets of CXApp that may be legally distributed to the stockholders will be distributed among the holders of the then outstanding common stock pro rata in accordance with the number of shares of common stock held by each such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outstanding shares of the common stock will be fully paid and nonassessable. The common stock will not be entitled to preemptive rights and will not be subject to 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certificate of incorporation, the Board is authorized, subject to limitations prescribed by the DGCL, to issue from time to time preferred stock in one or more series, and to determine and fix the number of shares of such series and such designations, powers, preferences and rights of the shares of each series and any of its qualifications, limitations or restrictions, in each case without approval by the stockholders. The Board is authorized to increase or decrease the number of shares of any series of preferred stock, but not below the number of shares of that series then outstanding, without approval by the stockholders. The Board may also authorize the issuance of preferred stock with voting or other rights that could adversely affect the voting power or other rights of the holders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warrants will be issued upon separation of the Units and only whole warrants will trade. The Public Warrants will become exercisable on the later of (a) April 13, 2023 which is 30 days after the completion of a Business Combination and (b) 12 months from the closing of the Initial Public Offering. The Public Warrants will expire on March 15, 2028 or earlier upon redemption or liquidation.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the Private Placement Warrants and the shares of Class A common stock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Declaration and payment of any dividend is subject to the discretion of our board of directors.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our board of directors may regard as relevant.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the business, and therefore we do not anticipate declaring or paying any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provisions of Delaware law, the amended and restated certificate of incorporation, and the amended and restated bylaws, which are summarized below, may have the effect of delaying, deferring, or discouraging another person from acquiring control of CXApp. They are also designed, in part, to encourage persons seeking to acquire control of CXApp to negotiate first with the Board.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amended and restated certificate of incorporation provides that the Board is divided into three classes, designated Class I, Class II and Class</w:t>
      </w:r>
    </w:p>
    <w:p>
      <w:pPr>
        <w:spacing w:after="0" w:line="27" w:lineRule="exact"/>
        <w:rPr>
          <w:sz w:val="20"/>
          <w:szCs w:val="20"/>
          <w:color w:val="auto"/>
        </w:rPr>
      </w:pPr>
    </w:p>
    <w:p>
      <w:pPr>
        <w:jc w:val="both"/>
        <w:ind w:firstLine="8"/>
        <w:spacing w:after="0" w:line="252" w:lineRule="auto"/>
        <w:tabs>
          <w:tab w:leader="none" w:pos="2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will be an equal number of directors, as nearly as possible, consisting of one third of the total number of directors constituting the entire board of directors. The term of the initial Class I directors shall terminate on the date of the first annual meeting of stockholders following the effectiveness of the amended and restated certificate of incorporation, the term of the initial Class II directors shall terminate on the date of the second annual meeting of stockholders following the effectiveness of the amended and restated certificate of incorporation, and the term of the initial Class III directors shall terminate on the date of the third annual meeting of stockholders following the effectiveness of the amended and restated certificate of incorporation. At each annual meeting of stockholders, successors to the class of directors whose term expires at that annual meeting will be elected for a three-year term.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outstanding series of preferred stock to elect directors, the amended and restated certificate of incorporation provides that directors may be removed from office at any time, with or without cause, only by the affirmative vote of the holders of at least a majority of the voting power of all of the then outstanding shares of voting stock of CXApp entitled to vote at an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Vacancies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outstanding series of preferred stock to elect directors, and except as otherwise provided by law, the amended and restated certificate of incorporation authorizes only a majority of the remaining members of the Board (other than any directors elected by the separate vote of one or more outstanding series of preferred stock), even though less than a quorum, to fill vacant directorships, including newly created seats. In addition, the number of directors constituting the Board will be permitted to be set only by a resolution of the Board. These provisions would prevent a stockholder from increasing the size of the Board and then gaining control of the Board by filling the resulting vacancies with its own nominees. This will make it more difficult to change the composition of the Board and will promote continuity of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amended and restated bylaws provide that the CXApp stockholders may take any action required or permitted to be taken at an annual or special meeting of stockholders by written consent in lieu of a meeting. The amended and restated certificate of incorporation and amended and restated bylaws further provide that special meetings of CXApp stockholders may be called only by the chairman of the Board, the Chief Executive Officer of CXApp or the Board pursuant to a resolution adopted by a majority of Board, and may not be called by any other person, including CXApp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amended and restated bylaws provide that CXApp stockholders seeking to bring business before CXApp’s annual meeting of stockholders, or to nominate candidates for election as directors at CXApp’s annual or a special meeting of stockholders must provide timely notice of their intent in writing. To be timely, a stockholder’s notice must be received by the Secretary at CXApp’s principal executive offices (i) in the case of an annual meeting,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 anniversary date of the immediately preceding annual meeting of stockholders (subject to certain exceptions), and (ii) in the case of a special meeting of stockholders called for the purpose of</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electing directors, not later than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special meeting is first made by CXApp. The amended and restated bylaws also specify certain requirements as to the form and content of a stockholders’ meeting. These provisions may preclude CXApp stockholders from bringing matters before an annual meeting of stockholders or from making nominations for directors at an annual meeting of stockholders.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The amended and restated certificate of incorporation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Amended and Restated Certificate of Incorporation Provisions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Amendments to the provisions of the amended and restated certificate of incorporation related to preferred stock; the management of the business and for the conduct of the affairs of CXApp; special meetings; liabilities of directors of CXApp; restrictions on any business combination with any interested stockholder; indemnification of directors and officers of CXApp; and forum require the affirmative vote of the holders of at least sixty six and two-thirds percent (66 and 2/3%) of the total voting power of all the then outstanding shares of stock of CXApp entitled to vote thereon, voting together as a single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CXApp’s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CXApp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amended and restated certificate of incorporation provides that, unless CXApp Is in writing to the selection of an alternative forum, the Court of Chancery of the State of Delaware (or, if the Court of Chancery does not have jurisdiction, the federal district court for the District of Delaware or other state courts of the State of Delaware) and any appellate court thereof shall, to the fullest extent permitted by law, be the sole and exclusive forum for: (i) any derivative action, suit or proceeding (“Proceeding”) brought on behalf of CXApp; (ii) any Proceeding asserting a claim of breach of a fiduciary duty owed by any of CXApp’s directors, officers, or stockholders to CXApp or its stockholders; (iii) any Proceeding arising pursuant to any provision of the DGCL, amended and restated certificate of incorporation or the amended and restated bylaws; (iv) any Proceeding as to which the DGCL confers jurisdiction on the Court of Chancery of the State of Delaware; or (v) any Proceeding asserting a claim against CXApp or any current or former director, officer or stockholder governed by the internal affairs doctrine. This provision would not apply to suits brought to enforce any liability or duty created by apply to suits brought to enforce any liability or duty created by the Securities Act, the Exchange Act or any other claim for which the federal courts of the United States have exclusive jurisdiction. The amended and restated certificate of incorporation further provides that, unless CXApp consents in writing to the selection of an alternative forum, the federal district courts of the United States shall be the exclusive forum for the resolution of any complaint asserting a cause of action arising under the Securities Act. These provisions may have the effect of discouraging lawsuits against CXApp or its directors and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amended and restated certificate of incorporation provides that no director of CXApp shall have any personal liability to CXApp or its stockholders for monetary damages for any breach of fiduciary duty as a director, except to the extent such exemption from liability or limitation thereof is not permitted under the DGCL. Amendments to these provisions shall not adversely affect any right or protection of a director of CXApp in respect of any act or omission occurring prior to the time of such amendment.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amended and restated certificate of incorporation further provides that CXApp indemnify directors and officers to the fullest extent permitted by law. CXApp is also expressly authorized to advance certain expenses (including, without limitation, attorneys’ fees) to its directors and officers and to maintain insurance, at its expense, to protect itself and/or any director, officer, employee or agent of CXApp against any expense, liability or loss, whether or not CXApp would have the power to indemnify such person against such expense, liability or loss under the DGCL.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CXApp entered into separate indemnification agreements with its directors and officers. These agreements, among other things, requires CXApp to indemnify its directors and officers for certain expenses, including attorneys’ fees, judgments, fines and settlement amounts incurred by a director or officer in any action or proceeding arising out of their services as one of CXApp’s directors or officers or any other company or enterprise to which the person provides services at CXApp’s request.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the Company’s name to procure a judgment in its favor, also known as a derivative action; provided that the stockholder bringing the action is a holder of our shares at the time of the transaction to which the action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Symbols and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“CXAI,” and our Warrants are listed on Nasdaq under the symbol “CXAIW.”</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8" w:name="page119"/>
    <w:bookmarkEnd w:id="118"/>
    <w:p>
      <w:pPr>
        <w:ind w:left="10320"/>
        <w:spacing w:after="0"/>
        <w:rPr>
          <w:sz w:val="20"/>
          <w:szCs w:val="20"/>
          <w:color w:val="auto"/>
        </w:rPr>
      </w:pPr>
      <w:r>
        <w:rPr>
          <w:rFonts w:ascii="Times New Roman" w:cs="Times New Roman" w:eastAsia="Times New Roman" w:hAnsi="Times New Roman"/>
          <w:sz w:val="17"/>
          <w:szCs w:val="17"/>
          <w:b w:val="1"/>
          <w:bCs w:val="1"/>
          <w:color w:val="auto"/>
        </w:rPr>
        <w:t>Exhibit 10.8</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urchase</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23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his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May 22, 2024, is entered into by and between CXA</w:t>
      </w:r>
      <w:r>
        <w:rPr>
          <w:rFonts w:ascii="Times New Roman" w:cs="Times New Roman" w:eastAsia="Times New Roman" w:hAnsi="Times New Roman"/>
          <w:sz w:val="12"/>
          <w:szCs w:val="12"/>
          <w:color w:val="auto"/>
        </w:rPr>
        <w:t>pp</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w:t>
      </w:r>
      <w:r>
        <w:rPr>
          <w:rFonts w:ascii="Times New Roman" w:cs="Times New Roman" w:eastAsia="Times New Roman" w:hAnsi="Times New Roman"/>
          <w:sz w:val="12"/>
          <w:szCs w:val="12"/>
          <w:color w:val="auto"/>
        </w:rPr>
        <w:t>treeterville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LLC, a Utah limited liability company, its successors and/or assigns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Capitalized terms used but not otherwise defined herein will have the meanings set forth in Section 11.</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Company and Investor are executing and delivering this Agreement in reliance upon an exemption from securities registration afforded by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the rules and regulations promulgated thereunder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Investor desires to purchase and Company desires to issue and sell, upon the terms and conditions set forth in this Agreement: (i) one or more Pre-Paid Purchases, in form substantially similar to that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Pre-Paid Purchase</w:t>
      </w:r>
      <w:r>
        <w:rPr>
          <w:rFonts w:ascii="Times New Roman" w:cs="Times New Roman" w:eastAsia="Times New Roman" w:hAnsi="Times New Roman"/>
          <w:sz w:val="18"/>
          <w:szCs w:val="18"/>
          <w:color w:val="auto"/>
        </w:rPr>
        <w:t>”), in the aggregate purchase amount of up to $10,000,000.00 (the “</w:t>
      </w:r>
      <w:r>
        <w:rPr>
          <w:rFonts w:ascii="Times New Roman" w:cs="Times New Roman" w:eastAsia="Times New Roman" w:hAnsi="Times New Roman"/>
          <w:sz w:val="18"/>
          <w:szCs w:val="18"/>
          <w:b w:val="1"/>
          <w:bCs w:val="1"/>
          <w:color w:val="auto"/>
        </w:rPr>
        <w:t>Commitment Amount</w:t>
      </w:r>
      <w:r>
        <w:rPr>
          <w:rFonts w:ascii="Times New Roman" w:cs="Times New Roman" w:eastAsia="Times New Roman" w:hAnsi="Times New Roman"/>
          <w:sz w:val="18"/>
          <w:szCs w:val="18"/>
          <w:color w:val="auto"/>
        </w:rPr>
        <w:t>”), for the purchase of common stock, $0.0001 par value per share, of Company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upon the terms and subject to the limitations and conditions set forth in such Pre-Paid Purchase; and (ii) 40,000 Common Shares to be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Company to Investor at Closing (as defined below) (the “</w:t>
      </w:r>
      <w:r>
        <w:rPr>
          <w:rFonts w:ascii="Times New Roman" w:cs="Times New Roman" w:eastAsia="Times New Roman" w:hAnsi="Times New Roman"/>
          <w:sz w:val="18"/>
          <w:szCs w:val="18"/>
          <w:b w:val="1"/>
          <w:bCs w:val="1"/>
          <w:color w:val="auto"/>
        </w:rPr>
        <w:t>Commitment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This Agreement, the Pre-Paid Purchase(s), the Registration Rights Agreement (as defined below), and all other certificates, documents, agreements, resolutions and instruments delivered to any party under or in connection with this Agreement, as the same may be amended from time to time, are collectively 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D. For purposes of this Agreement: “</w:t>
      </w:r>
      <w:r>
        <w:rPr>
          <w:rFonts w:ascii="Times New Roman" w:cs="Times New Roman" w:eastAsia="Times New Roman" w:hAnsi="Times New Roman"/>
          <w:sz w:val="18"/>
          <w:szCs w:val="18"/>
          <w:b w:val="1"/>
          <w:bCs w:val="1"/>
          <w:color w:val="auto"/>
        </w:rPr>
        <w:t>Purchase Shares</w:t>
      </w:r>
      <w:r>
        <w:rPr>
          <w:rFonts w:ascii="Times New Roman" w:cs="Times New Roman" w:eastAsia="Times New Roman" w:hAnsi="Times New Roman"/>
          <w:sz w:val="18"/>
          <w:szCs w:val="18"/>
          <w:color w:val="auto"/>
        </w:rPr>
        <w:t>” means all Common Shares issuable pursuant to the Pre-Paid Purchases; and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Pre-Paid Purchase(s), the Commitment Shares and the Purchase Shares.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above recitals and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Company and Investor hereby agree as follows:</w:t>
      </w:r>
    </w:p>
    <w:p>
      <w:pPr>
        <w:spacing w:after="0" w:line="159" w:lineRule="exact"/>
        <w:rPr>
          <w:sz w:val="20"/>
          <w:szCs w:val="20"/>
          <w:color w:val="auto"/>
        </w:rPr>
      </w:pPr>
    </w:p>
    <w:p>
      <w:pPr>
        <w:ind w:left="840" w:hanging="184"/>
        <w:spacing w:after="0"/>
        <w:tabs>
          <w:tab w:leader="none" w:pos="8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Purchase of Initial Pre-Paid Purchase and Commitment Shares</w:t>
      </w:r>
      <w:r>
        <w:rPr>
          <w:rFonts w:ascii="Times New Roman" w:cs="Times New Roman" w:eastAsia="Times New Roman" w:hAnsi="Times New Roman"/>
          <w:sz w:val="18"/>
          <w:szCs w:val="18"/>
          <w:color w:val="auto"/>
        </w:rPr>
        <w:t>. Company shall issue and sell to Investor and Investor shall purchase from Company the Initial Pre-Paid Purchase (as defined below) and Commitment Shares. In consideration thereof, Investor shall pay the Initial Purchase Price (as defined below) to Company for the Initial Pre-Paid Purchase and the Commitment Shares. Company shall issue the Commitment Shares to Investor at Closing.</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On the Closing Date, Investor shall pay the Initial Purchase Price to Company via wire transfer of immediately available funds against delivery of Pre-Paid Purchase #1 in the original principal amount of $2,625,000.00 (the “</w:t>
      </w:r>
      <w:r>
        <w:rPr>
          <w:rFonts w:ascii="Times New Roman" w:cs="Times New Roman" w:eastAsia="Times New Roman" w:hAnsi="Times New Roman"/>
          <w:sz w:val="18"/>
          <w:szCs w:val="18"/>
          <w:b w:val="1"/>
          <w:bCs w:val="1"/>
          <w:color w:val="auto"/>
        </w:rPr>
        <w:t>Initial Pre-Paid Purchase</w:t>
      </w:r>
      <w:r>
        <w:rPr>
          <w:rFonts w:ascii="Times New Roman" w:cs="Times New Roman" w:eastAsia="Times New Roman" w:hAnsi="Times New Roman"/>
          <w:sz w:val="18"/>
          <w:szCs w:val="18"/>
          <w:color w:val="auto"/>
        </w:rPr>
        <w:t>”) and the Commitment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the satisfaction (or written waiver) of the conditions set forth in Section 7 and Section 8 below, the date of the issuance and sale of the Initial Pre-Paid Purchase pursuant to this Agreement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May 22, 2024, or another mutually agreed upon date. The closing of the transactions contemplated by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on the Closing Date by means of the exchange by email of signed .pdf documents, but shall be deemed for all purposes to have occurred at the offices of Hansen Black Anderson Ashcraft PLLC in Lehi, Utah.</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Collateral for Pre-Paid Purchases</w:t>
      </w:r>
      <w:r>
        <w:rPr>
          <w:rFonts w:ascii="Times New Roman" w:cs="Times New Roman" w:eastAsia="Times New Roman" w:hAnsi="Times New Roman"/>
          <w:sz w:val="18"/>
          <w:szCs w:val="18"/>
          <w:color w:val="auto"/>
        </w:rPr>
        <w:t>. The Pre-Paid Purchases shall be unsecured.</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Original Issue Discount; Transaction Expense Amount</w:t>
      </w:r>
      <w:r>
        <w:rPr>
          <w:rFonts w:ascii="Times New Roman" w:cs="Times New Roman" w:eastAsia="Times New Roman" w:hAnsi="Times New Roman"/>
          <w:sz w:val="18"/>
          <w:szCs w:val="18"/>
          <w:color w:val="auto"/>
        </w:rPr>
        <w:t>. The Initial Pre-Paid Purchase carries an original issue discount of $125,000.00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In addition, Company agrees to pay $20,000.00 to Investor to cover Investor’s legal fees, accounting costs, due diligence, monitoring and other transaction costs incurred in connection with the purchase and sale of the Initial Pre-Paid Purchase (“</w:t>
      </w:r>
      <w:r>
        <w:rPr>
          <w:rFonts w:ascii="Times New Roman" w:cs="Times New Roman" w:eastAsia="Times New Roman" w:hAnsi="Times New Roman"/>
          <w:sz w:val="18"/>
          <w:szCs w:val="18"/>
          <w:b w:val="1"/>
          <w:bCs w:val="1"/>
          <w:color w:val="auto"/>
        </w:rPr>
        <w:t>Transaction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 OID for the Initial Pre-Paid Purchase will be included in the initial principal balance of the Initial Pre-Paid Purchase, and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Amount for the Initial Pre-Paid Purchase will be deducted from the amount funded at Closing. The “</w:t>
      </w:r>
      <w:r>
        <w:rPr>
          <w:rFonts w:ascii="Times New Roman" w:cs="Times New Roman" w:eastAsia="Times New Roman" w:hAnsi="Times New Roman"/>
          <w:sz w:val="18"/>
          <w:szCs w:val="18"/>
          <w:b w:val="1"/>
          <w:bCs w:val="1"/>
          <w:color w:val="auto"/>
        </w:rPr>
        <w:t>Initial Purchase Price</w:t>
      </w:r>
      <w:r>
        <w:rPr>
          <w:rFonts w:ascii="Times New Roman" w:cs="Times New Roman" w:eastAsia="Times New Roman" w:hAnsi="Times New Roman"/>
          <w:sz w:val="18"/>
          <w:szCs w:val="18"/>
          <w:color w:val="auto"/>
        </w:rPr>
        <w:t>”, therefore, shall be $2,500,000.00, computed as follows: $2,625,000.00 initial principal balance, less the OID. The OID for subsequent Pre-Paid Purchases after the Initial Pre-Paid Purchase will be five percent (5%) of the amount set forth in the applicable Request (as defined below), and have no additional Transaction Expense Amount.</w:t>
      </w:r>
    </w:p>
    <w:p>
      <w:pPr>
        <w:spacing w:after="0" w:line="19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Request for Pre-Paid Purchase</w:t>
      </w:r>
      <w:r>
        <w:rPr>
          <w:rFonts w:ascii="Times New Roman" w:cs="Times New Roman" w:eastAsia="Times New Roman" w:hAnsi="Times New Roman"/>
          <w:sz w:val="18"/>
          <w:szCs w:val="18"/>
          <w:color w:val="auto"/>
        </w:rPr>
        <w:t xml:space="preserve">. The parties hereby agree that Company may, at its sole and absolute discretion, at any time and from time to time during the Commitment Period, subject to the satisfaction of the conditions set forth in </w:t>
      </w:r>
      <w:r>
        <w:rPr>
          <w:rFonts w:ascii="Times New Roman" w:cs="Times New Roman" w:eastAsia="Times New Roman" w:hAnsi="Times New Roman"/>
          <w:sz w:val="18"/>
          <w:szCs w:val="18"/>
          <w:b w:val="1"/>
          <w:bCs w:val="1"/>
          <w:color w:val="auto"/>
        </w:rPr>
        <w:t>Annex I</w:t>
      </w:r>
      <w:r>
        <w:rPr>
          <w:rFonts w:ascii="Times New Roman" w:cs="Times New Roman" w:eastAsia="Times New Roman" w:hAnsi="Times New Roman"/>
          <w:sz w:val="18"/>
          <w:szCs w:val="18"/>
          <w:color w:val="auto"/>
        </w:rPr>
        <w:t xml:space="preserve"> attached hereto, request a Pre-Paid Purchase in an amount less than the Maximum Purchase Amount and greater than the Minimum Purchase Amount from Investor by providing a written notice of such</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request to Investor (each, a “</w:t>
      </w:r>
      <w:r>
        <w:rPr>
          <w:rFonts w:ascii="Times New Roman" w:cs="Times New Roman" w:eastAsia="Times New Roman" w:hAnsi="Times New Roman"/>
          <w:sz w:val="18"/>
          <w:szCs w:val="18"/>
          <w:b w:val="1"/>
          <w:bCs w:val="1"/>
          <w:color w:val="auto"/>
        </w:rPr>
        <w:t>Request</w:t>
      </w:r>
      <w:r>
        <w:rPr>
          <w:rFonts w:ascii="Times New Roman" w:cs="Times New Roman" w:eastAsia="Times New Roman" w:hAnsi="Times New Roman"/>
          <w:sz w:val="18"/>
          <w:szCs w:val="18"/>
          <w:color w:val="auto"/>
        </w:rPr>
        <w:t>”). The closing of each Pre-Paid Purchase shall take place on or before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(as defined in the Initial Pre-Paid Purchase) following the date of such Request, or such earlier date as may be agreed by Investor (the date of the closing of each Pre-Paid Purchase shall be referred to as the “</w:t>
      </w:r>
      <w:r>
        <w:rPr>
          <w:rFonts w:ascii="Times New Roman" w:cs="Times New Roman" w:eastAsia="Times New Roman" w:hAnsi="Times New Roman"/>
          <w:sz w:val="18"/>
          <w:szCs w:val="18"/>
          <w:b w:val="1"/>
          <w:bCs w:val="1"/>
          <w:color w:val="auto"/>
        </w:rPr>
        <w:t>Pre-Paid Purchase Date</w:t>
      </w:r>
      <w:r>
        <w:rPr>
          <w:rFonts w:ascii="Times New Roman" w:cs="Times New Roman" w:eastAsia="Times New Roman" w:hAnsi="Times New Roman"/>
          <w:sz w:val="18"/>
          <w:szCs w:val="18"/>
          <w:color w:val="auto"/>
        </w:rPr>
        <w:t xml:space="preserve">”). Subject to the satisfaction of the conditions set forth in </w:t>
      </w:r>
      <w:r>
        <w:rPr>
          <w:rFonts w:ascii="Times New Roman" w:cs="Times New Roman" w:eastAsia="Times New Roman" w:hAnsi="Times New Roman"/>
          <w:sz w:val="18"/>
          <w:szCs w:val="18"/>
          <w:b w:val="1"/>
          <w:bCs w:val="1"/>
          <w:color w:val="auto"/>
        </w:rPr>
        <w:t>Annex I</w:t>
      </w:r>
      <w:r>
        <w:rPr>
          <w:rFonts w:ascii="Times New Roman" w:cs="Times New Roman" w:eastAsia="Times New Roman" w:hAnsi="Times New Roman"/>
          <w:sz w:val="18"/>
          <w:szCs w:val="18"/>
          <w:color w:val="auto"/>
        </w:rPr>
        <w:t xml:space="preserve"> attached hereto as of such Pre-Paid Purchase Date, Investor shall pay to Company the amount set forth in such Request (which amount shall serve as the purchase price of such Pre-Paid Purchase) in immediately available funds to an account designated by Company in writing on each Pre-Paid Purchase Date (except in respect of the Initial Pre-Paid Purchase, which shall be paid at Closing) immediately following delivery of the applicable fully executed Pre-Paid Purchase in a form substantially similar to the Initial Pre-Paid Purchase except as noted in this Section 1.6, and transmit notification to Company that such funds transfer has been requested, and Company will issue the applicable Pre-Paid Purchase using the same form as the Initial Pre-Paid Purchase. With respect to each Pre-Paid Purchase issued hereunder after the Initial Pre-Paid Purchase: (i) the Floor Price (as defined in the applicable Pre-Paid Purchase) of such Pre-Paid Purchase will be twenty percent (20%) of the Nasdaq Minimum Price on the Trading Day immediately prior to the Pre-Paid Purchase Date; and (ii) the Fixed Price (as defined in the applicable Pre-Paid Purchase) of such Pre-Paid Purchase will be one hundred twenty percent (120%) of the Nasdaq Minimum Price on the Trading Day immediately prior to Pre-Paid Purchase Date. Each Pre-Paid Purchase will be considered a separate instrument with a separate outstanding balance and holding period. Notwithstanding anything to the contrary contained herein, including but not limited to the stipulation under Section 11.2, Company may determine, at its sole and absolute discretion, that it no longer wishes to request a Pre-Paid Purchase. For avoidance of any doubt, Company shall be under no obligation whatsoever to request any Pre-Paid Purchases other than the Initial Pre-Paid Purchase.</w:t>
      </w:r>
    </w:p>
    <w:p>
      <w:pPr>
        <w:spacing w:after="0" w:line="207" w:lineRule="exact"/>
        <w:rPr>
          <w:sz w:val="20"/>
          <w:szCs w:val="20"/>
          <w:color w:val="auto"/>
        </w:rPr>
      </w:pPr>
    </w:p>
    <w:p>
      <w:pPr>
        <w:jc w:val="both"/>
        <w:ind w:firstLine="656"/>
        <w:spacing w:after="0" w:line="261" w:lineRule="auto"/>
        <w:tabs>
          <w:tab w:leader="none" w:pos="84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 Representations and Warranties</w:t>
      </w:r>
      <w:r>
        <w:rPr>
          <w:rFonts w:ascii="Times New Roman" w:cs="Times New Roman" w:eastAsia="Times New Roman" w:hAnsi="Times New Roman"/>
          <w:sz w:val="18"/>
          <w:szCs w:val="18"/>
          <w:color w:val="auto"/>
        </w:rPr>
        <w:t>. Investor represents and warrants to Company that as of the Closing Date: (i) this Agreement has been duly and validly authorized; (ii) this Agreement constitutes a valid and binding agreement of Investor enforceable in accordance with its terms; and</w:t>
      </w: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is an “accredited investor” as that term is defined in Rule 501(a) of Regulation D of the 1933 Act.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jc w:val="both"/>
        <w:ind w:firstLine="656"/>
        <w:spacing w:after="0" w:line="251" w:lineRule="auto"/>
        <w:tabs>
          <w:tab w:leader="none" w:pos="8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Representations and Warranties</w:t>
      </w:r>
      <w:r>
        <w:rPr>
          <w:rFonts w:ascii="Times New Roman" w:cs="Times New Roman" w:eastAsia="Times New Roman" w:hAnsi="Times New Roman"/>
          <w:sz w:val="18"/>
          <w:szCs w:val="18"/>
          <w:color w:val="auto"/>
        </w:rPr>
        <w:t>. Company represents and warrants to Investor that as of the Closing Date: (i) Company is a corporation duly organized, validly existing and in good standing under the laws of its state of incorporation and has the requisite corporate power to own its properties and to carry on its business as now being conducted; (ii) Company is duly qualified to do business and is in good standing in each jurisdiction where the nature of the business conducted or property owned by it makes such qualification necessary; (iii) Company has registered its Common Shares under Section 12(b)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is obligated to file reports pursuant to Section 13 or Section 15(d) of the 1934 Act; (iv) each of the Transaction Documents and the transactions contemplated hereby and thereby, have been duly and validly authorized by Company and all necessary actions have been taken; (v) this Agreement, the Initial Pre-Paid Purchase, the Registration Rights Agreement and the other Transaction Documents have been duly executed and delivered by Company and constitute the valid and binding obligations of Company enforceable in accordance with their terms; (vi) the execution and delivery of the Transaction Documents by Company, the issuance of the Securities in accordance with the terms hereof, and the consummation by Company of the other transactions contemplated by the Transaction Documents do not and will not conflict with or result in a breach by Company of any of the terms or provisions of, or constitute a default under (a) Company’s formation documents or bylaws, each as currently in effect, (b) any indenture, mortgage, deed of trust, or other material agreement or instrument to which Company is a party or by which it or any of its properties or assets are bound, including, without limitation, any listing agreement for the Common Shares, or (c) any existing applicable law, rule, or regulation or any applicable decree, judgment, or order of any court, United States federal, state or foreign regulatory body, administrative agency, or other governmental body having jurisdiction over Company or any of Company’s properties or assets; (vii) no further authorization, approval or consent of any court, governmental body, regulatory agency, self-regulatory organization, or stock exchange or market or the stockholders or any lender of Company is required to be obtained by Company for the issuance of the Securities to Investor or the entering into of the Transaction Documents; (viii) none of Company’s filings with the SEC contained, at the time they were filed, any untrue statement of a material fact or omitted to state any material fact required to be stated therein or necessary to make the statements made therein, in light of the circumstances under which they were made, not misleading; (ix) with the exception of the 10-K annual report for the year ending December 31, 2023, the Company has filed all reports, schedules, forms, statements and other documents required to be filed by Company with the SEC under the 1934 Act on a timely basis or has received a valid extension of such time of filing and has filed any such report, schedule, form, statement or other document prior to the expiration of any such extension; (x) there is no action, suit, proceeding, inquiry or investigation before or by any court, public board or body pending or, to the knowledge of Company, threatened against or affecting Company before or by any governmental authority or non-governmental department, commission, board, bureau, agency or instrumentality or any other person, wherein an unfavorable decision, ruling or finding would have a material adverse effect on Company or which would adversely affect the validity or enforceability of, or the authority or ability of Company to perform its obligations under, any of the Transaction Documents; (xi) Company has not consummated any financing transaction that has not been disclosed in a periodic filing or current report with the SEC under the 1934 Act; (xii) Company is not, nor has it been at any time in the previous twelve (12) months, a “Shell Company,” as such type of “issuer” is described in Rule 144(i)(1) under the 1933 Act; (xiii) with respect to any commissions, placement agent or finder’s fees or similar payments that will or would become due and owing by Company to any person or entity as a result of this Agreement or the transactions contemplated hereby (“</w:t>
      </w: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any such Broker Fees will be made in full compliance with all applicable laws and regulations and only to a person or entity that is 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adviser or registered broker-dealer; (xiv) Investor shall have no obligation with respect to any Broker Fees or with respect to any claims made by or on behalf of other persons for fees of a type contemplated in this subsection that may be due in connection with the transactions contemplated hereby and Company shall indemnify and hold harmless each of Investor, Investor’s employees, officers, directors, stockholders, members, managers, agents, and partners, and their respective affiliates, from and against all claims, losses, damages, costs (including the costs of preparation and attorneys’ fees) and expenses suffered in respect of any such claimed Broker Fees; (xv) neither Investor nor any of its officers, directors, stockholders, members, managers, employees,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1" w:name="page122"/>
    <w:bookmarkEnd w:id="121"/>
    <w:p>
      <w:pPr>
        <w:jc w:val="both"/>
        <w:spacing w:after="0" w:line="253" w:lineRule="auto"/>
        <w:rPr>
          <w:sz w:val="20"/>
          <w:szCs w:val="20"/>
          <w:color w:val="auto"/>
        </w:rPr>
      </w:pPr>
      <w:r>
        <w:rPr>
          <w:rFonts w:ascii="Times New Roman" w:cs="Times New Roman" w:eastAsia="Times New Roman" w:hAnsi="Times New Roman"/>
          <w:sz w:val="18"/>
          <w:szCs w:val="18"/>
          <w:color w:val="auto"/>
        </w:rPr>
        <w:t>agents or representatives has made any representations or warranties to Company or any of its officers, directors, employees, agents or representatives except as expressly set forth in the Transaction Documents and, in making its decision to enter into the transactions contemplated by the Transaction Documents, Company is not relying on any representation, warranty, covenant or promise of Investor or its officers, directors, members, managers, employees, agents or representatives other than as set forth in the Transaction Documents; (xvi) Company acknowledges that the State of Utah has a reasonable relationship and sufficient contacts to the transactions contemplated by the Transaction Documents and any dispute that may arise related thereto such that the laws and venue of the State of Utah, as set forth more specifically in Section 12.2 below, shall be applicable to the Transaction Documents and the transactions contemplated therein; (xvii) Company acknowledges that Investor is not registered as a ‘dealer’ under the 1934 Act; (xviii) Company has performed due diligence and background research on Investor and its affiliates and has received and reviewed the due diligence packet provided by Investor; and (xix) Company agrees that each Pre-Paid Purchase issued hereunder will be deemed to be a security under the 1933 Act for all purposes and agrees not to take a contrary position in any document, statement, setting, or situation. Company, being aware of the matters and legal issues described in subsections (xvii) and (xviii) above, acknowledges and agrees that such matters, or any similar matters, have no bearing on the transactions contemplated by the Transaction Documents and covenants and agrees it will not use any such information or legal theory as a defense to performance of its obligations under the Transaction Documents or in any attempt to avoid, modify, reduce, rescind or void such obligations.</w:t>
      </w:r>
    </w:p>
    <w:p>
      <w:pPr>
        <w:spacing w:after="0" w:line="187" w:lineRule="exact"/>
        <w:rPr>
          <w:sz w:val="20"/>
          <w:szCs w:val="20"/>
          <w:color w:val="auto"/>
        </w:rPr>
      </w:pPr>
    </w:p>
    <w:p>
      <w:pPr>
        <w:jc w:val="both"/>
        <w:ind w:firstLine="656"/>
        <w:spacing w:after="0" w:line="257" w:lineRule="auto"/>
        <w:tabs>
          <w:tab w:leader="none" w:pos="82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Covenants</w:t>
      </w:r>
      <w:r>
        <w:rPr>
          <w:rFonts w:ascii="Times New Roman" w:cs="Times New Roman" w:eastAsia="Times New Roman" w:hAnsi="Times New Roman"/>
          <w:sz w:val="18"/>
          <w:szCs w:val="18"/>
          <w:color w:val="auto"/>
        </w:rPr>
        <w:t>. Until all of Company’s obligations under all of the Transaction Documents are paid and performed in full, or within the timeframes otherwise specifically set forth below, Company will at all times comply with the following covenants: (i) notwithstanding the Company’s late filing of its 10-K annual report for the year ending December 31, 2023, so long as Investor beneficially owns any of the Securities and for at least twenty</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4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thereafter, Company will remain in good standing with Nasdaq and timely file on the applicable deadline all reports required to be filed with the SEC pursuant to Sections 13 or 15(d) of the 1934 Act, and will take all reasonable action under its control to ensure that adequate current public information with respect to Company, as required in accordance with Rule 144 of the 1933 Act, is publicly available, and will not terminate its status as an issuer required to file reports under the 1934 Act even if the 1934 Act or the rules and regulations thereunder would permit such termination; (ii) when issued, the Commitment Shares and the Purchase Shares will be duly authorized, validly issued, fully paid for and non-assessable, free and clear of all liens, claims, charges and encumbrances; (iii) the Common Shares shall be listed or quoted for trading on NYSE, NYSE American, or remain listed on Nasdaq; (iv) trading in Company’s Common Shares will not be suspended, halted, chilled, frozen, reach zero bid or otherwise cease trading on Company’s principal trading market; (v) Company will not make any Restricted Issuance (as defined below) without Investor’s prior written consent, which consent may be granted or withheld in Investor’s sole and absolute discretion; and (vi) Company shall not enter into any agreement or otherwise agree to any covenant, condition, or obligation that locks up, restricts in any way or otherwise prohibits Company: (a) from entering into a variable rate transaction with Investor or any affiliate of Investor, or (b) from issuing Common Shares, preferred stock, warrants, convertible Pre-Paid Purchases, other debt securities, or any other Company securities to Investor or any affiliate of Investor. For purposes hereof, the term “</w:t>
      </w:r>
      <w:r>
        <w:rPr>
          <w:rFonts w:ascii="Times New Roman" w:cs="Times New Roman" w:eastAsia="Times New Roman" w:hAnsi="Times New Roman"/>
          <w:sz w:val="18"/>
          <w:szCs w:val="18"/>
          <w:b w:val="1"/>
          <w:bCs w:val="1"/>
          <w:color w:val="auto"/>
        </w:rPr>
        <w:t>Restricted Issuance</w:t>
      </w:r>
      <w:r>
        <w:rPr>
          <w:rFonts w:ascii="Times New Roman" w:cs="Times New Roman" w:eastAsia="Times New Roman" w:hAnsi="Times New Roman"/>
          <w:sz w:val="18"/>
          <w:szCs w:val="18"/>
          <w:color w:val="auto"/>
        </w:rPr>
        <w:t>” means the issuance, incurrence or guaranty of any debt obligations other than trade payables or intercompany debt incurred in the ordinary course of business, or the issuance of any securities that (1) have or may have conversion rights of any kind, contingent, conditional or otherwise, in which the number of shares that may be issued pursuant to such conversion right varies with the market price of the Common Shares, (2) are or may become convertible into Common Shares (including without limitation convertible debt, warrants or convertible preferred shares), with a conversion price that varies with the market price of the Common Shares, even if such security only becomes convertible following an event of default, the passage of time, or another trigger event or condition; or (3) have a fixed conversion price, exercise price or exchange price that is subject to being reset at some future date at any time after the initial issuance of such debt or equity security (A) due to a change in the market price of Company’s Common Shares since the date of the initial issuance or (B) upon the occurrence of specified or contingent events directly or indirectly related to the business of Company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2" w:name="page123"/>
    <w:bookmarkEnd w:id="122"/>
    <w:p>
      <w:pPr>
        <w:jc w:val="both"/>
        <w:spacing w:after="0" w:line="254" w:lineRule="auto"/>
        <w:rPr>
          <w:sz w:val="20"/>
          <w:szCs w:val="20"/>
          <w:color w:val="auto"/>
        </w:rPr>
      </w:pPr>
      <w:r>
        <w:rPr>
          <w:rFonts w:ascii="Times New Roman" w:cs="Times New Roman" w:eastAsia="Times New Roman" w:hAnsi="Times New Roman"/>
          <w:sz w:val="18"/>
          <w:szCs w:val="18"/>
          <w:color w:val="auto"/>
        </w:rPr>
        <w:t>(including, without limitation, any “full ratchet” or “weighted average” anti-dilution provisions, but not including any standard anti-dilution protection for any reorganization, recapitalization, non-cash dividend, stock split or other similar transaction). For the avoidance of doubt, the issuance of Common Shares under, pursuant to, in exchange for or in connection with any contract or instrument, whether convertible or not, is deemed a Restricted Issuance for purposes hereof if the number of Common Shares to be issued is based upon or related in any way to the market price of the Common Shares, including, but not limited to, Common Shares issued in connection with a Section 3(a)(9) exchange, a Section 3(a)(10) settlement, or any other similar settlement or exchange. For the further avoidance of doubt, Common Shares issued pursuant to any of the following will not be considered Restricted Issuances: (i) ATM facilities, (ii) primary offerings without variable price mechanics, or (iii) issuances of Common Shares in settlement of warrants issued by Company in its initial public offering on December 15, 2020.</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 Company covenants with Investor as follows, which covenants are for the benefit of Investor during the Commitment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Registration Statement</w:t>
      </w:r>
      <w:r>
        <w:rPr>
          <w:rFonts w:ascii="Times New Roman" w:cs="Times New Roman" w:eastAsia="Times New Roman" w:hAnsi="Times New Roman"/>
          <w:sz w:val="18"/>
          <w:szCs w:val="18"/>
          <w:color w:val="auto"/>
        </w:rPr>
        <w:t>. Company will file, in accordance with the provisions of the 1933 Act and the rules and regulations thereunder, with the SEC within forty-five (45) days from the Closing Date a registration statement on Form S-1 (the “</w:t>
      </w:r>
      <w:r>
        <w:rPr>
          <w:rFonts w:ascii="Times New Roman" w:cs="Times New Roman" w:eastAsia="Times New Roman" w:hAnsi="Times New Roman"/>
          <w:sz w:val="18"/>
          <w:szCs w:val="18"/>
          <w:b w:val="1"/>
          <w:bCs w:val="1"/>
          <w:color w:val="auto"/>
        </w:rPr>
        <w:t>Initial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registering at least 3,049,000 Common Shares for the Commitment Shares and issuances pursuant to the Pre-Paid Purchases, including a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with respect to the issuance and sale of securities by Company, including Common Shares, which contains, among other things a Plan of Distribution section disclosing the methods by which Company may sell the Common Shares. Except where the context otherwise requires, the Initial Registration Statement, as amended when it becomes effective, including all documents filed as part thereof or incorporated by reference therein, and including any information contained in a Prospectus subsequently filed with the SEC pursuant to Rule 424(b) (a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under the 1933 Act or deemed to be a part of the Initial Registration Statement pursuant to Rule 430B of the 1933 Act, is herein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Following Company receiving Approval (as defined below) for issuances of Common Shares to exceed the Exchange Cap (as defined below) Company will file one or more Registration Statements as necessary to have sufficient Common Shares registered to accommodate the full Commitment Amount. Following effectiveness of the Initial Registration Statement, Company will use reasonable best efforts to maintain the effectiveness of the Registration Statement at all times Investor owns any of the Securities.</w:t>
      </w:r>
    </w:p>
    <w:p>
      <w:pPr>
        <w:spacing w:after="0" w:line="18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Disclosure</w:t>
      </w:r>
      <w:r>
        <w:rPr>
          <w:rFonts w:ascii="Times New Roman" w:cs="Times New Roman" w:eastAsia="Times New Roman" w:hAnsi="Times New Roman"/>
          <w:sz w:val="18"/>
          <w:szCs w:val="18"/>
          <w:color w:val="auto"/>
        </w:rPr>
        <w:t>. Promptly after the execution of the Initial Pre-Paid Purchase, Company shall file with the SEC a current report on Form 8-K or such other appropriate form as determined by counsel to Company (the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relating to the transactions contemplated by this Agreement disclosing all information relating to the transaction contemplated hereby required to be disclosed therein.</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0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Final Documents</w:t>
      </w:r>
      <w:r>
        <w:rPr>
          <w:rFonts w:ascii="Times New Roman" w:cs="Times New Roman" w:eastAsia="Times New Roman" w:hAnsi="Times New Roman"/>
          <w:sz w:val="18"/>
          <w:szCs w:val="18"/>
          <w:color w:val="auto"/>
        </w:rPr>
        <w:t>. Company shall furnish to Investor without charge, (i) at least one copy of each Registration Statement as declared effective by the SEC and any amendment(s) thereto, including financial statements and schedules, all documents incorporated therein by reference, all exhibits and each preliminary prospectus, (ii) at the request of Investor, at least one copy of the final prospectus included in such Registration Statement and all amendments and supplements thereto (or such other number of copies as Investor may reasonably request) and (iii) such other documents as Investor may reasonably request from time to time in order to facilitate the disposition of the Common Shares owned by Investor pursuant to a Registration Statement. Filing of the foregoing with the SEC via its EDGAR system shall satisfy the requirements of this Section.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3" w:name="page124"/>
    <w:bookmarkEnd w:id="123"/>
    <w:p>
      <w:pPr>
        <w:jc w:val="both"/>
        <w:ind w:firstLine="1952"/>
        <w:spacing w:after="0" w:line="266" w:lineRule="auto"/>
        <w:tabs>
          <w:tab w:leader="none" w:pos="21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Other Filings</w:t>
      </w:r>
      <w:r>
        <w:rPr>
          <w:rFonts w:ascii="Times New Roman" w:cs="Times New Roman" w:eastAsia="Times New Roman" w:hAnsi="Times New Roman"/>
          <w:sz w:val="18"/>
          <w:szCs w:val="18"/>
          <w:color w:val="auto"/>
        </w:rPr>
        <w:t>. Company shall (i) prepare and file with the SEC such amendments (including post-effective amendments) and supplements to a Registration Statement and the related prospectus used in connection with such Registration Statement, and (ii) all Periodic Reports as may be necessary to keep such Registration Statement effective at all times during the Commitment Period.</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To the extent legally required, Company shall use its commercially reasonable efforts to, if required by Applicable Laws, (i) register and qualify the Common Shares covered by a Registration Statement under such other securities or “blue sky” laws of such jurisdictions in the United States as Investor reasonably requests, (ii) prepare and file in those jurisdictions, such amendments (including post-effective amendments) and supplements to such registrations and qualifications as may be necessary to maintain the effectiveness thereof during the Commitment Period, (iii) take such other actions as may be necessary to maintain such registrations and qualifications in effect at all times during the Commitment Period, and (iv) take all other actions reasonably necessary or advisable to qualify the Common Shares for sale in such jurisdictions. Company shall promptly notify Investor of the receipt by Company of any notification with respect to the suspension of the registration or qualification of any of the Common Shares for sale under the securities or “blue sky” laws of any jurisdiction in the United States or its receipt of actual notice of the initiation or threat of any proceeding for such purpose.</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Listing of Common Shares</w:t>
      </w:r>
      <w:r>
        <w:rPr>
          <w:rFonts w:ascii="Times New Roman" w:cs="Times New Roman" w:eastAsia="Times New Roman" w:hAnsi="Times New Roman"/>
          <w:sz w:val="18"/>
          <w:szCs w:val="18"/>
          <w:color w:val="auto"/>
        </w:rPr>
        <w:t>. As of each Purchase Notice Date, Company will use its commercially reasonable efforts to cause the Shares to be listed on the Principal Market.</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Notice of Certain Events Affecting Registration; Suspension of Right to Request a Pre-Paid Purchase</w:t>
      </w:r>
      <w:r>
        <w:rPr>
          <w:rFonts w:ascii="Times New Roman" w:cs="Times New Roman" w:eastAsia="Times New Roman" w:hAnsi="Times New Roman"/>
          <w:sz w:val="18"/>
          <w:szCs w:val="18"/>
          <w:color w:val="auto"/>
        </w:rPr>
        <w:t>. Company will promptly notify Investor, and confirm in writing, upon its becoming aware of the occurrence of any of the following events in respect of a Registration Statement or related Prospectus (in each of which cases the information provided to Investor will be kept strictly confidential): (i) except for requests made in connection with SEC investigations, receipt of any request for additional information by the SEC or any other federal or state governmental authority during the period of effectiveness of the Registration Statement or any request for amendments or supplements to the Registration Statement or related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1933 Act or any other law; (v) Company’s reasonable determination that a post-effective amendment to the Registration Statement would be appropriate and Company will promptly make available to Investor any such supplement or amendment to the related Prospectus. Investor shall not deliver to Company any Purchase Notice, and Company shall not sell any Shares pursuant to any pending Purchase Notice, during the continuation of any of the foregoing events (each of the events described in the immediately preceding clauses (i) through (v),</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4" w:name="page125"/>
    <w:bookmarkEnd w:id="124"/>
    <w:p>
      <w:pPr>
        <w:jc w:val="both"/>
        <w:spacing w:after="0" w:line="268" w:lineRule="auto"/>
        <w:rPr>
          <w:sz w:val="20"/>
          <w:szCs w:val="20"/>
          <w:color w:val="auto"/>
        </w:rPr>
      </w:pPr>
      <w:r>
        <w:rPr>
          <w:rFonts w:ascii="Times New Roman" w:cs="Times New Roman" w:eastAsia="Times New Roman" w:hAnsi="Times New Roman"/>
          <w:sz w:val="18"/>
          <w:szCs w:val="18"/>
          <w:color w:val="auto"/>
        </w:rPr>
        <w:t>inclusive, a “</w:t>
      </w:r>
      <w:r>
        <w:rPr>
          <w:rFonts w:ascii="Times New Roman" w:cs="Times New Roman" w:eastAsia="Times New Roman" w:hAnsi="Times New Roman"/>
          <w:sz w:val="18"/>
          <w:szCs w:val="18"/>
          <w:b w:val="1"/>
          <w:bCs w:val="1"/>
          <w:color w:val="auto"/>
        </w:rPr>
        <w:t>Material Outside Event</w:t>
      </w:r>
      <w:r>
        <w:rPr>
          <w:rFonts w:ascii="Times New Roman" w:cs="Times New Roman" w:eastAsia="Times New Roman" w:hAnsi="Times New Roman"/>
          <w:sz w:val="18"/>
          <w:szCs w:val="18"/>
          <w:color w:val="auto"/>
        </w:rPr>
        <w:t>”). Company shall be obligated to cure any Material Outside Event within ten (10) Trading Days. Notwithstanding anything to the contrary contained herein this paragraph, consistent with Section 5.8, the Company may not disclose to the Investor any material information not yet publicly available or disclosed to other shareholders.</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Company will not, directly or indirectly, take any action designed to cause or result in, or that constitutes or might reasonably be expected to constitute, the manipulation of the price of any security of Company under Regulation M of the 1934 Act.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From and after the filing of the Current Report with the SEC, Company shall have publicly disclosed all material, nonpublic information delivered to Investor (or Investor’s representatives or agents) by Company or any of its subsidiaries, or any of their respective officers, directors, employees, agents or representatives (if any) in connection with Company and any of its subsidiaries. Company understands and confirms that Investor will rely on the foregoing representations in effecting resales of Purchase Shares under the Registration Statement.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from Pre-Paid Purchases paid to Company by Investor or from the sale of the Purchase Shares by Company to Investor shall be used by Company in the manner as will be set forth in the Registration Statement (and any post-effective amendment thereto) thereto filed pursuant to this Agreement, and in accordance with the terms and conditions of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Frustration</w:t>
      </w:r>
      <w:r>
        <w:rPr>
          <w:rFonts w:ascii="Times New Roman" w:cs="Times New Roman" w:eastAsia="Times New Roman" w:hAnsi="Times New Roman"/>
          <w:sz w:val="18"/>
          <w:szCs w:val="18"/>
          <w:color w:val="auto"/>
        </w:rPr>
        <w:t>. Company shall not enter into, announce or recommend to its stockholders any agreement, plan, arrangement or transaction in or of which the terms thereof would restrict, materially delay, conflict with or impair the ability or right of Company to perform its obligations under the Transaction Documents to which it is a party, including, without limitation, the obligation of Company to deliver the Purchase Shares to Investor in respect of a Purchase Notice.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Company covenants and agrees that, other than with Investor’s prior consent, it shall refrain from disclosing, and shall cause its officers, directors, employees and agents to refrain from disclosing, any material non-public information (as determined under the 1933 Act, the 1934 Act, or the rules and regulations of the SEC) to Investor without also disseminating such information to the public within a reasonable time period thereafter, unless prior to disclosure of such information Company identifies such information as being material non-public information and provides Investor with the opportunity to accept or refuse to accept such material non-public information for review.</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Notwithstanding anything to the contrary contained in this Agreement or the other Transaction Documents, Company and Investor agree that the total cumulative number of Common Shares issued to Investor under all Pre-Paid Purchases together with all other Transaction Documents may not exceed the requirements of Nasdaq Listing Rule 5635(d)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will not apply following Approval (defined below). At Company’s next annual meeting, Company will seek stockholder approval of all Pre-Paid Purchases that have been or may be issued hereunder covering the full Commitment Amount and the issuance of Purchase Shares under all Pre-Paid Purchases in excess of the Exchange Cap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If Company is unable to obtain such Approval: (a) it will continue seeking Approval every 180 days until the Approval is obtained; and (b) any remaining Pre-Paid Purchase Outstanding Balance after reaching the Exchange Cap must be repaid in cash. For the avoidance of doubt, failure to obtain the Approval shall not be considered a breach of this Agreement.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5" w:name="page126"/>
    <w:bookmarkEnd w:id="125"/>
    <w:p>
      <w:pPr>
        <w:ind w:left="840" w:hanging="184"/>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In consideration of Investor’s execution and delivery of this Agreement and acquiring the Pre-Paid Purchases hereunder, and in addition to all of Company’s other obligations under this Agreement, Company shall defend, protect, indemnify and hold harmless Investor and its officers, directors, managers, members, partners, employees and agents (including, without limitation, those retained in connection with the transactions contemplated by this Agreement) and each person who controls Investor within the meaning of Section 15 of the 1933 Act or Section 20 of the 1934 Act (collectively, the “</w:t>
      </w:r>
      <w:r>
        <w:rPr>
          <w:rFonts w:ascii="Times New Roman" w:cs="Times New Roman" w:eastAsia="Times New Roman" w:hAnsi="Times New Roman"/>
          <w:sz w:val="18"/>
          <w:szCs w:val="18"/>
          <w:b w:val="1"/>
          <w:bCs w:val="1"/>
          <w:color w:val="auto"/>
        </w:rPr>
        <w:t>Investor 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Investor Indemnitees or any of them as a result of, or arising out of, or relating to (a) any untrue statement or alleged untrue statement of a material fact contained in the Registration Statement for the registration of the Purchase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provided, however, that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Company by or on behalf of Investor specifically for inclusion therein; (b) any material misrepresentation or breach of any material representation or material warranty made by Company in this Agreement or any other certificate, instrument or document contemplated hereby or thereby; or (c) any material breach of any material covenant, material agreement or material obligation of Company contained in this Agreement or any other certificate, instrument or document contemplated hereby or thereby. To the extent that the foregoing undertaking by Company may be unenforceable under Applicable Laws, Company shall make the maximum contribution to the payment and satisfaction of each of the Indemnified Liabilities, which is permissible under Applicable Laws. Except as otherwise set forth herein, the mechanics and procedures with respect to the rights and obligations under this Section 6.1 (Indemnification by Company) shall be the same as those set forth in Section __ of the Registration Rights Agreement.</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Indemnification by Investor</w:t>
      </w:r>
      <w:r>
        <w:rPr>
          <w:rFonts w:ascii="Times New Roman" w:cs="Times New Roman" w:eastAsia="Times New Roman" w:hAnsi="Times New Roman"/>
          <w:sz w:val="18"/>
          <w:szCs w:val="18"/>
          <w:color w:val="auto"/>
        </w:rPr>
        <w:t>. In consideration of Company’s execution and delivery of this Agreement, and in addition to all of Investor’s other obligations under this Agreement, Investor shall defend, protect, indemnify and hold harmless Company and all of its officers, directors, shareholders, employees and agents (including, without limitation, those retained in connection with the transactions contemplated by this Agreement) and each person who controls Company within the meaning of Section 15 of the 1933 Act or Section 20 of the 1934 Act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Indemnified Liabilities incurred by Company Indemnitees or any of them as a result of, or arising out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(a) any untrue statement or alleged untrue statement of a material fact contained in the Registration Statement for the registration of the Purchase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provided, however, that Investor will only be liable for written information relating to Investor furnished to Company by or on behalf of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Investor by or on behalf of Company specifically for inclusion therein; (b) any misrepresentation or breach of any representation or warranty made by Investor in this Agreement or any instrument or document contemplated hereby or thereby executed by Investor; or (c) any breach of any covenant, agreement or obligation of Investor contained in this Agreement or any other certificate,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6" w:name="page127"/>
    <w:bookmarkEnd w:id="126"/>
    <w:p>
      <w:pPr>
        <w:jc w:val="both"/>
        <w:spacing w:after="0" w:line="261" w:lineRule="auto"/>
        <w:rPr>
          <w:sz w:val="20"/>
          <w:szCs w:val="20"/>
          <w:color w:val="auto"/>
        </w:rPr>
      </w:pPr>
      <w:r>
        <w:rPr>
          <w:rFonts w:ascii="Times New Roman" w:cs="Times New Roman" w:eastAsia="Times New Roman" w:hAnsi="Times New Roman"/>
          <w:sz w:val="18"/>
          <w:szCs w:val="18"/>
          <w:color w:val="auto"/>
        </w:rPr>
        <w:t>instrument or document contemplated hereby or thereby executed by Investor. To the extent that the foregoing undertaking by Investor may be unenforceable under Applicable Laws, Investor shall make the maximum contribution to the payment and satisfaction of each of the Indemnified Liabilities, which is permissible under Applicable Laws. Except as otherwise set forth herein, the mechanics and procedures with respect to the rights and obligations under this Section 6.2 (Indemnification by Investor) shall be the same as those set forth in Section __ of the Registration Rights Agreement.</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Notice of Claims</w:t>
      </w:r>
      <w:r>
        <w:rPr>
          <w:rFonts w:ascii="Times New Roman" w:cs="Times New Roman" w:eastAsia="Times New Roman" w:hAnsi="Times New Roman"/>
          <w:sz w:val="18"/>
          <w:szCs w:val="18"/>
          <w:color w:val="auto"/>
        </w:rPr>
        <w:t>.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Section 6, deliver to the indemnifying party a written notice of the commencement thereof; but the failure to so notify the indemnifying party will not relieve it of liability under this Section 6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Investor Indemnitee or Company Indemnitee and the indemnifying party would be inappropriate due to actual or potential differing interests between such Investor Indemnitee or Company Indemnitee and any other party represented by such counsel in such proceeding. Investor Indemnitee or Company Indemnitee shall cooperate fully with the indemnifying party in connection with any negotiation or defense of any such action or claim by the indemnifying party and shall furnish to the indemnifying party all information reasonably available to Investor Indemnitee or Company Indemnitee which relates to such action or claim. The indemnifying party shall keep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Investor Indemnitee or Company Indemnitee with respect to all third parties, firms or corporations relating to the matter for which indemnification has been made. The indemnification required by this Section 6 shall be made by periodic payments of the amount thereof during the course of the investigation or defense, as and when bills are received and payment therefor is due.</w:t>
      </w:r>
    </w:p>
    <w:p>
      <w:pPr>
        <w:spacing w:after="0" w:line="205" w:lineRule="exact"/>
        <w:rPr>
          <w:sz w:val="20"/>
          <w:szCs w:val="20"/>
          <w:color w:val="auto"/>
        </w:rPr>
      </w:pPr>
    </w:p>
    <w:p>
      <w:pPr>
        <w:ind w:firstLine="656"/>
        <w:spacing w:after="0" w:line="282" w:lineRule="auto"/>
        <w:tabs>
          <w:tab w:leader="none" w:pos="8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Company’s Obligation to Sell</w:t>
      </w:r>
      <w:r>
        <w:rPr>
          <w:rFonts w:ascii="Times New Roman" w:cs="Times New Roman" w:eastAsia="Times New Roman" w:hAnsi="Times New Roman"/>
          <w:sz w:val="18"/>
          <w:szCs w:val="18"/>
          <w:color w:val="auto"/>
        </w:rPr>
        <w:t>. The obligation of Company hereunder to issue and sell the Initial Pre-Paid Purchase to Investor at the Closing is subject to the satisfaction, on or before the Closing Date, of each of the following conditions:</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7.1. Investor shall have executed this Agreement, the Initial Pre-Paid Purchase and the Registration Rights Agreement and delivered the same to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7.2. Investor shall have delivered the Initial Purchase Price to Company in accordance with Section 1.2 above.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7" w:name="page128"/>
    <w:bookmarkEnd w:id="127"/>
    <w:p>
      <w:pPr>
        <w:jc w:val="both"/>
        <w:ind w:firstLine="656"/>
        <w:spacing w:after="0" w:line="266" w:lineRule="auto"/>
        <w:tabs>
          <w:tab w:leader="none" w:pos="8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Investor’s Obligation to Purchase</w:t>
      </w:r>
      <w:r>
        <w:rPr>
          <w:rFonts w:ascii="Times New Roman" w:cs="Times New Roman" w:eastAsia="Times New Roman" w:hAnsi="Times New Roman"/>
          <w:sz w:val="18"/>
          <w:szCs w:val="18"/>
          <w:color w:val="auto"/>
        </w:rPr>
        <w:t>. The obligation of Investor hereunder to purchase the Initial Pre-Paid Purchase at the Closing is subject to the satisfaction, on or before the Closing Date, of each of the following conditions, provided that these conditions are for Investor’s sole benefit and may be waived by Investor at any time in its sole discretion: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 Company shall have executed this Agreement and the Initial Pre-Paid Purchase and delivered the same to Investor.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8.2. Company shall have issued the Commitment Shares to Investor.</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8.3. Company shall have executed a Registration Rights Agreement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and delivered the same to Investor.</w:t>
      </w:r>
    </w:p>
    <w:p>
      <w:pPr>
        <w:spacing w:after="0" w:line="158"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8.4. Company shall have delivered to Investor a fully executed Irrevocable Letter of Instructions to Transfer Agent (the “</w:t>
      </w:r>
      <w:r>
        <w:rPr>
          <w:rFonts w:ascii="Times New Roman" w:cs="Times New Roman" w:eastAsia="Times New Roman" w:hAnsi="Times New Roman"/>
          <w:sz w:val="18"/>
          <w:szCs w:val="18"/>
          <w:b w:val="1"/>
          <w:bCs w:val="1"/>
          <w:color w:val="auto"/>
        </w:rPr>
        <w:t>TA Letter</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acknowledged and agreed to in writing by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8.5. Company shall have delivered to Investor a fully executed Officer’s Certificate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evidencing Company’s approval of the Transaction Documents.</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8.6. Company shall have delivered to Investor a fully executed Share Issuance Resolution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to be delivered to the Transfer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8.7. Company shall have filed its December 31, 2023 Form 10-K and March 31, 2024 Form 10-Q with the SEC.</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8.8. Company shall have delivered to Investor fully executed copies of all other Transaction Documents required to be executed by Company herein or therein.</w:t>
      </w:r>
    </w:p>
    <w:p>
      <w:pPr>
        <w:spacing w:after="0" w:line="162" w:lineRule="exact"/>
        <w:rPr>
          <w:sz w:val="20"/>
          <w:szCs w:val="20"/>
          <w:color w:val="auto"/>
        </w:rPr>
      </w:pPr>
    </w:p>
    <w:p>
      <w:pPr>
        <w:jc w:val="both"/>
        <w:ind w:firstLine="656"/>
        <w:spacing w:after="0" w:line="253" w:lineRule="auto"/>
        <w:tabs>
          <w:tab w:leader="none" w:pos="8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On the date hereof, Company will reserve 3,049,000 Common Shares from its authorized and unissued Common Shares to provide for all issuances of Common Shares under this Agreement and all Pre-Paid Purchases (the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Company further agrees following receipt of the Approval to add additional Common Shares to the Share Reserve in increments of 100,000 shares as and when requested by Investor if as of the date of any such request the number of shares being held in the Share Reserve is less than three (3) times the number of Common Shares equal to the Pre-Paid Purchase Outstanding Balance divided by the Purchase Share Purchase Price (as defined in the Pre-Paid Purchases). Company shall further require the Transfer Agent to hold the Common Shares reserved pursuant to the Share Reserve exclusively for the benefit of Investor and to issue such shares to Investor promptly upon Investor’s delivery of a Purchase Notice under the Pre-Paid Purchase. Finally, Company shall require the Transfer Agent to issue Common Shares pursuant to the Pre-Paid Purchase to Investor out of its authorized and unissued shares, and not the Share Reserve, to the extent Common Shares have been authorized, but not issued, and are not included in the Share Reserve. The Transfer Agent shall only issue Common Shares out of the Share Reserve to the extent there are no other authorized shares available for issuance and then only with Investor’s written consent.</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Most Favored Nation</w:t>
      </w:r>
      <w:r>
        <w:rPr>
          <w:rFonts w:ascii="Times New Roman" w:cs="Times New Roman" w:eastAsia="Times New Roman" w:hAnsi="Times New Roman"/>
          <w:sz w:val="18"/>
          <w:szCs w:val="18"/>
          <w:color w:val="auto"/>
        </w:rPr>
        <w:t>. So long as any Pre-Paid Purchase is outstanding, upon any issuance by Company of any security (including Pre-Paid Purchases issued after the Initial Pre-Paid Purchase) with any term or condition more favorable to the holder of such security or with a term in favor of the holder of such security that was not similarly provided to Investor in the Transaction Documents,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8" w:name="page129"/>
    <w:bookmarkEnd w:id="128"/>
    <w:p>
      <w:pPr>
        <w:jc w:val="both"/>
        <w:spacing w:after="0" w:line="255" w:lineRule="auto"/>
        <w:rPr>
          <w:sz w:val="20"/>
          <w:szCs w:val="20"/>
          <w:color w:val="auto"/>
        </w:rPr>
      </w:pPr>
      <w:r>
        <w:rPr>
          <w:rFonts w:ascii="Times New Roman" w:cs="Times New Roman" w:eastAsia="Times New Roman" w:hAnsi="Times New Roman"/>
          <w:sz w:val="18"/>
          <w:szCs w:val="18"/>
          <w:color w:val="auto"/>
        </w:rPr>
        <w:t>then Company shall notify Investor of such additional or more favorable term and such term, at Investor’s option, shall become a part of the Transaction Documents for the benefit of Investor. Additionally, if Company fails to notify Investor of any such additional or more favorable term, but Investor becomes aware that Company has granted such a term to any third party, Investor may notify Company of such additional or more favorable term and such term shall become a part of the Transaction Documents retroactive to the date on which such term was granted to the applicable third party. The types of terms contained in another security that may be more favorable to the holder of such security include, but are not limited to, terms addressing floor prices, fixed purchase prices, conversion discounts, conversion lookback periods, interest rates, original issue discounts, stock sale price, conversion price per share, warrant coverage, warrant exercise price, and anti-dilution/conversion and exercise price resets.</w:t>
      </w:r>
    </w:p>
    <w:p>
      <w:pPr>
        <w:spacing w:after="0" w:line="189" w:lineRule="exact"/>
        <w:rPr>
          <w:sz w:val="20"/>
          <w:szCs w:val="20"/>
          <w:color w:val="auto"/>
        </w:rPr>
      </w:pPr>
    </w:p>
    <w:p>
      <w:pPr>
        <w:ind w:left="920" w:hanging="264"/>
        <w:spacing w:after="0"/>
        <w:tabs>
          <w:tab w:leader="none" w:pos="9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Commitment Period</w:t>
      </w:r>
      <w:r>
        <w:rPr>
          <w:rFonts w:ascii="Times New Roman" w:cs="Times New Roman" w:eastAsia="Times New Roman" w:hAnsi="Times New Roman"/>
          <w:sz w:val="18"/>
          <w:szCs w:val="18"/>
          <w:color w:val="auto"/>
        </w:rPr>
        <w:t>” means the period beginning on the Closing Date and ending on the earlier of: (i) the date that is three (3) years from the Closing Date, and (ii) the date Company has sold $10,000,000.00 in Pre-Paid Purchases hereunder. Notwithstanding the foregoing, in the event that a definitive agreement that contemplates a Change of Control is entered into after the Closing, the Commitment Period for any Pre-Paid Purchases shall automatically terminate immediately prior to the consummation of such Change of Control. The Company may waive this condition subsequent, at its sole discretion. For the purposes of this section, the term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the transfer (whether by tender offer, merger, stock purchase, consolidation or other similar transaction), in one transaction or a series of related transactions, to a person or group of affiliated persons of the Company’s securities if, after such transfer, such person or group of affiliated persons would hold more than 50% of outstanding voting securities of the Company, or would otherwise have the power to control the Company or to direct the operations of the Company. For the avoidance of doubt, the termination of the Commitment Period will not effect Company’s obligations with respect to Pre-Paid Purchases issued prior to the termination of the Commitment Period.</w:t>
      </w:r>
    </w:p>
    <w:p>
      <w:pPr>
        <w:spacing w:after="0" w:line="18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Maximum Purchase Amount</w:t>
      </w:r>
      <w:r>
        <w:rPr>
          <w:rFonts w:ascii="Times New Roman" w:cs="Times New Roman" w:eastAsia="Times New Roman" w:hAnsi="Times New Roman"/>
          <w:sz w:val="18"/>
          <w:szCs w:val="18"/>
          <w:color w:val="auto"/>
        </w:rPr>
        <w:t>” means $2,500,000.00 less the Pre-Paid Purchase Outstanding Balance, rounded down to the nearest $1,000.00.</w:t>
      </w:r>
    </w:p>
    <w:p>
      <w:pPr>
        <w:spacing w:after="0" w:line="15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Minimum Purchase Amount</w:t>
      </w:r>
      <w:r>
        <w:rPr>
          <w:rFonts w:ascii="Times New Roman" w:cs="Times New Roman" w:eastAsia="Times New Roman" w:hAnsi="Times New Roman"/>
          <w:sz w:val="17"/>
          <w:szCs w:val="17"/>
          <w:color w:val="auto"/>
        </w:rPr>
        <w:t>” means $250,000.00.</w:t>
      </w:r>
    </w:p>
    <w:p>
      <w:pPr>
        <w:spacing w:after="0" w:line="225" w:lineRule="exact"/>
        <w:rPr>
          <w:sz w:val="20"/>
          <w:szCs w:val="20"/>
          <w:color w:val="auto"/>
        </w:rPr>
      </w:pPr>
    </w:p>
    <w:p>
      <w:pPr>
        <w:ind w:right="300" w:firstLine="1296"/>
        <w:spacing w:after="0" w:line="268"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Nasdaq Minimum Price</w:t>
      </w:r>
      <w:r>
        <w:rPr>
          <w:rFonts w:ascii="Times New Roman" w:cs="Times New Roman" w:eastAsia="Times New Roman" w:hAnsi="Times New Roman"/>
          <w:sz w:val="18"/>
          <w:szCs w:val="18"/>
          <w:color w:val="auto"/>
        </w:rPr>
        <w:t>” means the lower of: (i) the Closing Trade Price (as defined in the Initial Pre-Paid Purchase) on the Trading Day immediately preceding the applicable measurement date; or (ii) the average Closing Trade Price for the five (5) Trading Days immediately preceding the applicable measurement date.</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Periodic Reports</w:t>
      </w:r>
      <w:r>
        <w:rPr>
          <w:rFonts w:ascii="Times New Roman" w:cs="Times New Roman" w:eastAsia="Times New Roman" w:hAnsi="Times New Roman"/>
          <w:sz w:val="18"/>
          <w:szCs w:val="18"/>
          <w:color w:val="auto"/>
        </w:rPr>
        <w:t xml:space="preserve">” shall mean the Company’s (i) Annual Reports on Form 10-K, (ii) any current report to be filed on Form 10-Q and (iii) all other reports required to be filed by the Company with the SEC under applicable laws and regulations (including, without limitation, Regulation S-K);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9" w:name="page130"/>
    <w:bookmarkEnd w:id="129"/>
    <w:p>
      <w:pPr>
        <w:ind w:left="130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Pre-Paid Purchase Outstanding Balance</w:t>
      </w:r>
      <w:r>
        <w:rPr>
          <w:rFonts w:ascii="Times New Roman" w:cs="Times New Roman" w:eastAsia="Times New Roman" w:hAnsi="Times New Roman"/>
          <w:sz w:val="18"/>
          <w:szCs w:val="18"/>
          <w:color w:val="auto"/>
        </w:rPr>
        <w:t>” means the aggregate outstanding balance of all outstanding Pre-Paid Purchases.</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 provided however, that in the event Company’s Common Shares are ever listed or traded on the New York Stock Exchange, the NYSE American, the Nasdaq Global Market, or the Nasdaq Global Select Market, then the “Principal Market” shall mean such other market or exchange on which Company’s Common Shares are then listed or traded.</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Purchase Notice</w:t>
      </w:r>
      <w:r>
        <w:rPr>
          <w:rFonts w:ascii="Times New Roman" w:cs="Times New Roman" w:eastAsia="Times New Roman" w:hAnsi="Times New Roman"/>
          <w:sz w:val="18"/>
          <w:szCs w:val="18"/>
          <w:color w:val="auto"/>
        </w:rPr>
        <w:t>” means a written notice in the form of Exhibit A to the Pre-Paid Purchase delivered by Investor to Company requiring Company to sell Purchase Shares to Investor.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color w:val="auto"/>
        </w:rPr>
        <w:t>Purchase Notice Date</w:t>
      </w:r>
      <w:r>
        <w:rPr>
          <w:rFonts w:ascii="Times New Roman" w:cs="Times New Roman" w:eastAsia="Times New Roman" w:hAnsi="Times New Roman"/>
          <w:sz w:val="18"/>
          <w:szCs w:val="18"/>
          <w:color w:val="auto"/>
        </w:rPr>
        <w:t>” means each date Investor delivers to Company a Purchase Notice.</w:t>
      </w:r>
    </w:p>
    <w:p>
      <w:pPr>
        <w:spacing w:after="0" w:line="229" w:lineRule="exact"/>
        <w:rPr>
          <w:sz w:val="20"/>
          <w:szCs w:val="20"/>
          <w:color w:val="auto"/>
        </w:rPr>
      </w:pPr>
    </w:p>
    <w:p>
      <w:pPr>
        <w:jc w:val="both"/>
        <w:ind w:firstLine="656"/>
        <w:spacing w:after="0" w:line="266" w:lineRule="auto"/>
        <w:tabs>
          <w:tab w:leader="none" w:pos="9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provisions set forth in this Section 12 shall apply to this Agreement, as well as all other Transaction Documents as if these terms were fully set forth therein; provided, however, that in the event there is a conflict between any provision set forth in this Section 12 and any provision in any other Transaction Document, the provision in such other Transaction Document shall govern.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Arbitration of Claims</w:t>
      </w:r>
      <w:r>
        <w:rPr>
          <w:rFonts w:ascii="Times New Roman" w:cs="Times New Roman" w:eastAsia="Times New Roman" w:hAnsi="Times New Roman"/>
          <w:sz w:val="18"/>
          <w:szCs w:val="18"/>
          <w:color w:val="auto"/>
        </w:rPr>
        <w:t xml:space="preserve">. The parties shall submit all Claims (as defined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arising under this Agreement or any other Transaction Document or any other agreement between the parties and their affiliates or any Claim relating to the relationship of the parties to binding arbitration pursuant to the arbitration provisions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Arbitration Provisions</w:t>
      </w:r>
      <w:r>
        <w:rPr>
          <w:rFonts w:ascii="Times New Roman" w:cs="Times New Roman" w:eastAsia="Times New Roman" w:hAnsi="Times New Roman"/>
          <w:sz w:val="18"/>
          <w:szCs w:val="18"/>
          <w:color w:val="auto"/>
        </w:rPr>
        <w:t>”). For the avoidance of doubt, the parties agree that the injunction described in Section 12.3 below may be pursued in an arbitration that is separate and apart from any other arbitration regarding all other Claims arising under the Transaction Documents. The parties hereby acknowledge and agree that the Arbitration Provisions are unconditionally binding on the parties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Investor may rely upon the foregoing representations and covenants of Company regarding the Arbitration Provisions.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Each party consents to and expressly agrees that the exclusive venue for arbitration of any dispute arising out of or relating to any Transaction Document or the relationship of the parties or their affiliates shall be in Salt Lake County, Utah. Without modifying the parties’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Transfer Agent and Company, such litigation specifically includes, without limitation any action between or involving Company and the Transfer Agent under the TA Letter or otherwise related to Investor in any way (specifically including, without limitation, any action where Company seeks to obtain an injunction, temporary restraining order, or otherwise prohibit the Transfer Agent from issuing Common Shares to Investor for any reason)),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0" w:name="page131"/>
    <w:bookmarkEnd w:id="130"/>
    <w:p>
      <w:pPr>
        <w:jc w:val="both"/>
        <w:spacing w:after="0" w:line="253" w:lineRule="auto"/>
        <w:rPr>
          <w:sz w:val="20"/>
          <w:szCs w:val="20"/>
          <w:color w:val="auto"/>
        </w:rPr>
      </w:pPr>
      <w:r>
        <w:rPr>
          <w:rFonts w:ascii="Times New Roman" w:cs="Times New Roman" w:eastAsia="Times New Roman" w:hAnsi="Times New Roman"/>
          <w:sz w:val="18"/>
          <w:szCs w:val="18"/>
          <w:color w:val="auto"/>
        </w:rPr>
        <w:t>each party hereto hereby (i) consents to and expressly submits to the exclusive personal jurisdiction of any state or federal court sitting in Salt Lake County, Utah, (ii) expressly submits to the exclusive venue of any such court for the purposes hereof, (iii) agrees to not bring any such action (specifically including, without limitation, any action where Company seeks to obtain an injunction, temporary restraining order, or otherwise prohibit the Transfer Agent from issuing Common Shares to Investor for any reason) outside of any state or federal court sitting in Salt Lake County, Utah,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Finally, Company covenants and agrees to name Investor as a party in interest in, and provide written notice to Investor in accordance with Section 12.10 below prior to bringing or filing, any action (including without limitation any filing or action against any person or entity that is not a party to this Agreement, including without limitation the Transfer Agent) that is related in any way to the Transaction Documents or any transaction contemplated herein or therein, including without limitation any action brought by Company to enjoin or prevent the issuance of any Common Shares to Investor by the Transfer Agent, and further agrees to timely name Investor as a party to any such action. Company acknowledges that the governing law and venue provisions set forth in this Section 12.2 are material terms to induce Investor to enter into the Transaction Documents and that but for Company’s agreements set forth in this Section 12.2 Investor would not have entered into the Transaction Documents.</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Company acknowledges and agrees that Investor may suffer irreparable harm in the event that Company fails to perform any material provision of this Agreement or any of the other Transaction Documents in accordance with its specific terms. It is accordingly agreed that Investor shall be entitled to one or more injunctions to prevent or cure breaches of the provisions of this Agreement or such other Transaction Document and to enforce specifically the terms and provisions hereof or thereof, this being in addition to any other remedy to which Investor may be entitled under the Transaction Documents, at law or in equity. Company specifically agrees that: (a) following an Event of Default (as defined in the Initial Pre-Paid Purchase) under any Pre-Paid Purchase, Investor shall have the right to seek and receive injunctive relief from a court or an arbitrator prohibiting Company from issuing any of its Common Shares or preferred stock to any party unless the Pre-Paid Purchase Outstanding Balance is being paid in full simultaneously with such issuance; and (b) following a breach of Section 4(vi) above, Investor shall have the right to seek and receive injunctive relief from a court or arbitrator invalidating such lock-up. Company specifically acknowledges that Investor’s right to obtain specific performance constitutes bargained for leverage and that the loss of such leverage would result in irreparable harm to Investor. For the avoidance of doubt, in the event Investor seeks to obtain an injunction from a court or an arbitrator against Company or specific performance of any provision of any Transaction Document, such action shall not be a waiver of any right of Investor under any Transaction Document, at law, or in equity, including without limitation its rights to arbitrate any Claim pursuant to the terms of the Transaction Documents, nor shall Investor’s pursuit of an injunction prevent Investor, under the doctrines of claim preclusion, issues preclusion, res judicata or other similar legal doctrines, from pursuing other Claims in the future in a separate arbitration.</w:t>
      </w:r>
    </w:p>
    <w:p>
      <w:pPr>
        <w:spacing w:after="0" w:line="19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Calculation Disputes</w:t>
      </w:r>
      <w:r>
        <w:rPr>
          <w:rFonts w:ascii="Times New Roman" w:cs="Times New Roman" w:eastAsia="Times New Roman" w:hAnsi="Times New Roman"/>
          <w:sz w:val="18"/>
          <w:szCs w:val="18"/>
          <w:color w:val="auto"/>
        </w:rPr>
        <w:t>. Notwithstanding the Arbitration Provisions, in the case of a dispute as to any determination or arithmetic calculation under the Transaction Documents, including without limitation, calculating the Outstanding Balance, Market Price, VWAP (each, as defined in the Initial Pre-Paid Purchase) or the number of Purchase Shares (each, a “</w:t>
      </w:r>
      <w:r>
        <w:rPr>
          <w:rFonts w:ascii="Times New Roman" w:cs="Times New Roman" w:eastAsia="Times New Roman" w:hAnsi="Times New Roman"/>
          <w:sz w:val="18"/>
          <w:szCs w:val="18"/>
          <w:b w:val="1"/>
          <w:bCs w:val="1"/>
          <w:color w:val="auto"/>
        </w:rPr>
        <w:t>Calculation</w:t>
      </w:r>
      <w:r>
        <w:rPr>
          <w:rFonts w:ascii="Times New Roman" w:cs="Times New Roman" w:eastAsia="Times New Roman" w:hAnsi="Times New Roman"/>
          <w:sz w:val="18"/>
          <w:szCs w:val="18"/>
          <w:color w:val="auto"/>
        </w:rPr>
        <w:t>”), Company or Investor (as the case may be) shall submit any disputed Calculation via email or facsimile with confirmation of receipt (i) within two (2) Trading Days after receipt of the applicable notice giving rise to such dispute to Company or Investor (as the case may be) or (ii) if no notice gave rise to such dispute, at any time after Investor learned of the circumstances giving rise to such dispute. If Investor and Company are unable to agree upon such Calculation within two (2) Trading Days of such disputed Calculation being submitted to Company or Investor (as the case may be), then Investor will promptly submit via email or facsimile the disputed Calculation to Unkar Systems Inc. (“</w:t>
      </w:r>
      <w:r>
        <w:rPr>
          <w:rFonts w:ascii="Times New Roman" w:cs="Times New Roman" w:eastAsia="Times New Roman" w:hAnsi="Times New Roman"/>
          <w:sz w:val="18"/>
          <w:szCs w:val="18"/>
          <w:b w:val="1"/>
          <w:bCs w:val="1"/>
          <w:color w:val="auto"/>
        </w:rPr>
        <w:t>Unkar Systems</w:t>
      </w:r>
      <w:r>
        <w:rPr>
          <w:rFonts w:ascii="Times New Roman" w:cs="Times New Roman" w:eastAsia="Times New Roman" w:hAnsi="Times New Roman"/>
          <w:sz w:val="18"/>
          <w:szCs w:val="18"/>
          <w:color w:val="auto"/>
        </w:rPr>
        <w:t>”). Investor shall cause Unkar Systems to perform the Calculation and notify Company and Investor of the results no later than ten (10) Trading Days from the time it receives such disputed Calculation. Unkar Systems’ determination of the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1" w:name="page132"/>
    <w:bookmarkEnd w:id="131"/>
    <w:p>
      <w:pPr>
        <w:jc w:val="both"/>
        <w:spacing w:after="0" w:line="255" w:lineRule="auto"/>
        <w:rPr>
          <w:sz w:val="20"/>
          <w:szCs w:val="20"/>
          <w:color w:val="auto"/>
        </w:rPr>
      </w:pPr>
      <w:r>
        <w:rPr>
          <w:rFonts w:ascii="Times New Roman" w:cs="Times New Roman" w:eastAsia="Times New Roman" w:hAnsi="Times New Roman"/>
          <w:sz w:val="18"/>
          <w:szCs w:val="18"/>
          <w:color w:val="auto"/>
        </w:rPr>
        <w:t>disputed Calculation shall be binding upon all parties absent demonstrable error. Unkar Systems’ fee for performing such Calculation shall be paid by the incorrect party, or if both parties are incorrect, by the party whose Calculation is furthest from the correct Calculation as determined by Unkar Systems. In the event Company is the losing party, no extension of the Delivery Date (as defined in the Initial Pre-Paid Purchase) shall be granted and Company shall incur all effects for failing to deliver the applicable shares in a timely manner as set forth in the Transaction Documents. Notwithstanding the foregoing, Investor may, in its sole discretion, designate an independent, reputable investment bank or accounting firm other than Unkar Systems to resolve any such dispute and in such event, all references to “Unkar Systems” herein will be replaced with references to such independent, reputable investment bank or accounting firm so designated by Investor.</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Agreement are for convenience of reference only and shall not form part of, or affect the interpretation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is invalid or unenforceable under any applicable statute or rule of law, then such provision shall be deemed inoperative to the extent that it may conflict therewith and shall be deemed modified to conform to such statute or rule of law. Any provision hereof which may prove invalid or unenforceable under any law shall not affect the validity or enforceability of any other provision hereof.</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Transaction Documents, contains the entire understanding of the parties with respect to the matters covered herein and therein and, except as specifically set forth herein or therein, neither Company nor Investor makes any representation, warranty, covenant or undertaking with respect to such matters. For the avoidance of doubt, all prior term sheets or other documents between Company and Investor, or any affiliate thereof, related to the transactions contemplated by the Transaction Documents (collectively,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that may have been entered into between Company and Investor, or any affiliate thereof, are hereby null and void and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in their entirety by the Transaction Documents. To the extent there is a conflict between any term set forth in any Prior Agreement and the term(s) of the Transaction Documents, the Transaction Documents shall govern.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 of this Agreement may be waived or amended other than by an instrument in writing signed by both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(unless otherwise specified herein) and shall be deemed effectively given on the earliest of: (i) the date delivered, if delivered by personal delivery as against written receipt therefor or by email to an executive officer named below or such officer’s successor, or by facsimile (with successful transmission confirmation which is kept by sending party), (ii) the earlier of the date delivered or the third Trading Day after deposit, postage Pre-Paid, in the United States Postal Service by certified mail, or (iii) the earlier of the date delivered or the third Trading Day after mailing by express courier, with delivery costs and fees Pre-Paid, in each case, addressed to each of the other parties thereunto entitled at the following addresses (or at such other addresses as such party may designate by five (5) calendar days’ advance written notice similarly given to each of the other parties hereto):</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2" w:name="page133"/>
    <w:bookmarkEnd w:id="132"/>
    <w:p>
      <w:pPr>
        <w:ind w:left="980"/>
        <w:spacing w:after="0"/>
        <w:rPr>
          <w:sz w:val="20"/>
          <w:szCs w:val="20"/>
          <w:color w:val="auto"/>
        </w:rPr>
      </w:pPr>
      <w:r>
        <w:rPr>
          <w:rFonts w:ascii="Times New Roman" w:cs="Times New Roman" w:eastAsia="Times New Roman" w:hAnsi="Times New Roman"/>
          <w:sz w:val="18"/>
          <w:szCs w:val="18"/>
          <w:color w:val="auto"/>
        </w:rPr>
        <w:t>If to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CXApp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Khurram Sheikh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Four Palo Alto Square, Suite 200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Palo Alto, California 94306</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Investor: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Streeterville Capital,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John M. Fife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303 East Wacker Drive, Suite 1040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Illinois 60601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Hansen Black Anderson Ashcraft PLLC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Jonathan Hansen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3051 West Maple Loop Drive, Suite 325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Lehi, Utah 84043</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or any of the severable rights and obligations inuring to the benefit of or to be performed by Investor hereunder may be assigned by Investor to a third party, including its affiliates, in whole or in part, without the need to obtain Company’s consent thereto. Company may not assign its rights or obligations under this Agreement or delegate its duties hereunder, whether directly or indirectly, without the prior written consent of Investor, and any such attempted assignment or delegation shall be null and void.</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of Company and the agreements and covenants set forth in this Agreement shall survive the Closing hereunder notwithstanding any due diligence investigation conducted by or on behalf of Investor. Company agrees to indemnify and hold harmless Investor and all its officers, directors, employees, attorneys, and agents for loss or damage arising as a result of or related to any breach or alleged breach by Company of any of its representations, warranties and covenants set forth in this Agreement or any of its covenants and obligations under this Agreement, including advancement of expenses as they are incurred.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3" w:name="page134"/>
    <w:bookmarkEnd w:id="13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Investor’s Rights and Remedies Cumulative</w:t>
      </w:r>
      <w:r>
        <w:rPr>
          <w:rFonts w:ascii="Times New Roman" w:cs="Times New Roman" w:eastAsia="Times New Roman" w:hAnsi="Times New Roman"/>
          <w:sz w:val="18"/>
          <w:szCs w:val="18"/>
          <w:color w:val="auto"/>
        </w:rPr>
        <w:t>. All rights, remedies, and powers conferred in this Agreement and the Transaction Documents are cumulative and not exclusive of any other rights or remedies, and shall be in addition to every other right, power, and remedy that Investor may have, whether specifically granted in this Agreement or any other Transaction Document, or existing at law, in equity, or by statute, and any and all such rights and remedies may be exercised from time to time and as often and in such order as Investor may deem expedient.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Attorneys’ Fees and Cost of Collection</w:t>
      </w:r>
      <w:r>
        <w:rPr>
          <w:rFonts w:ascii="Times New Roman" w:cs="Times New Roman" w:eastAsia="Times New Roman" w:hAnsi="Times New Roman"/>
          <w:sz w:val="18"/>
          <w:szCs w:val="18"/>
          <w:color w:val="auto"/>
        </w:rPr>
        <w:t>. In the event any suit, action or arbitration is filed by either party against the other to interpret or enforce any of the Transaction Documents, the unsuccessful party to such action agrees to pay to the prevailing party all costs and expenses, including attorneys’ fees incurred therein, including the same with respect to an appeal. The “prevailing party” shall be the party in whose favor a judgment is entered, regardless of whether judgment is entered on all claims asserted by such party and regardless of the amount of the judgment; or where, due to the assertion of counterclaims, judgments are entered in favor of and against both parties, then the arbitrator shall determine the “prevailing party” by taking into account the relative dollar amounts of the judgments or, if the judgments involve nonmonetary relief, the relative importance and value of such relief. Nothing herein shall restrict or impair an arbitrator’s or a court’s power to award fees and expenses for frivolous or bad faith pleading. If (i) any Pre-Paid Purchase is placed in the hands of an attorney for collection or enforcement prior to commencing arbitration or legal proceedings, or is collected or enforced through any arbitration or legal proceeding, or Investor otherwise takes action to collect amounts due under the Pre-Paid Purchases or to enforce the provisions of the Pre-Paid Purchases, or (ii) there occurs any bankruptcy, reorganization, receivership of Company or other proceedings affecting Company’s creditors’ rights and involving a claim under the Pre-Paid Purchases; then Company shall pay the costs incurred by Investor for such collection, enforcement or action or in connection with such bankruptcy, reorganization, receivership or other proceeding, including, without limitation, attorneys’ fees, expenses, deposition costs, and disbursements.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Agreement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TO THIS AGREEMENT IRREVOCABLY WAIVES ANY AND ALL RIGHTS SUCH PARTY MAY HAVE TO DEMAND THAT ANY ACTION, PROCEEDING OR COUNTERCLAIM ARISING OUT OF OR IN ANY WAY RELATED TO THIS AGREEMENT, ANY OTHER TRANSACTION DOCUMENT, OR THE RELATIONSHIPS OF THE PARTIES HERETO BE TRIED BY JURY. THIS WAIVER EXTENDS TO ANY AND ALL RIGHTS TO DEMAND A TRIAL BY JURY ARISING UNDER COMMON LAW OR ANY APPLICABLE STATUTE, LAW, RULE OR REGULATION. FURTHER, EACH PARTY HERETO ACKNOWLEDGES THAT SUCH PARTY IS KNOWINGLY AND VOLUNTARILY WAIVING SUCH PARTY’S RIGHT TO DEMAND TRIAL BY JURY.</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Time is of the Essence</w:t>
      </w:r>
      <w:r>
        <w:rPr>
          <w:rFonts w:ascii="Times New Roman" w:cs="Times New Roman" w:eastAsia="Times New Roman" w:hAnsi="Times New Roman"/>
          <w:sz w:val="18"/>
          <w:szCs w:val="18"/>
          <w:color w:val="auto"/>
        </w:rPr>
        <w:t>. Time is expressly made of the essence with respect to each and every provision of this Agreement and the other Transaction Documents.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4" w:name="page135"/>
    <w:bookmarkEnd w:id="13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12.19. </w:t>
      </w:r>
      <w:r>
        <w:rPr>
          <w:rFonts w:ascii="Times New Roman" w:cs="Times New Roman" w:eastAsia="Times New Roman" w:hAnsi="Times New Roman"/>
          <w:sz w:val="18"/>
          <w:szCs w:val="18"/>
          <w:u w:val="single" w:color="auto"/>
          <w:color w:val="auto"/>
        </w:rPr>
        <w:t>Voluntary Agreement</w:t>
      </w:r>
      <w:r>
        <w:rPr>
          <w:rFonts w:ascii="Times New Roman" w:cs="Times New Roman" w:eastAsia="Times New Roman" w:hAnsi="Times New Roman"/>
          <w:sz w:val="18"/>
          <w:szCs w:val="18"/>
          <w:color w:val="auto"/>
        </w:rPr>
        <w:t>. Company has carefully read this Agreement and each of the other Transaction Documents and has asked any questions needed for Company to understand the terms, consequences and binding effect of this Agreement and each of the other Transaction Documents and fully understand them. Company has had the opportunity to seek the advice of an attorney of Company’s choosing, or has waived the right to do so, and is executing this Agreement and each of the other Transaction Documents voluntarily and without any duress or undue influence by Investor or anyone else.</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12.20. </w:t>
      </w:r>
      <w:r>
        <w:rPr>
          <w:rFonts w:ascii="Times New Roman" w:cs="Times New Roman" w:eastAsia="Times New Roman" w:hAnsi="Times New Roman"/>
          <w:sz w:val="18"/>
          <w:szCs w:val="18"/>
          <w:u w:val="single" w:color="auto"/>
          <w:color w:val="auto"/>
        </w:rPr>
        <w:t>Document Imaging</w:t>
      </w:r>
      <w:r>
        <w:rPr>
          <w:rFonts w:ascii="Times New Roman" w:cs="Times New Roman" w:eastAsia="Times New Roman" w:hAnsi="Times New Roman"/>
          <w:sz w:val="18"/>
          <w:szCs w:val="18"/>
          <w:color w:val="auto"/>
        </w:rPr>
        <w:t>. Investor shall be entitled, in its sole discretion, to image or make copies of all or any selection of the agreements, instruments, documents, and items and records governing, arising from or relating to any of Company’s loans, including, without limitation, this Agreement and the other Transaction Documents, and Investor may destroy or archive the paper originals. The parties hereto (i) waive any right to insist or require that Investor produce paper originals, (ii) agree that such images shall be accorded the same force and effect as the paper originals, (iii) agree that Investor is entitled to use such images in lieu of destroyed or archived originals for any purpose, including as admissible evidence in any demand, presentment or other proceedings, and (iv) further agree that any executed facsimile (faxed), scanned, emailed, or other imaged copy of this Agreement or any other Transaction Document shall be deemed to be of the same force and effect as the original manually executed document.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Investor and Company have caused this Agreement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INVESTOR: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John M.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CXA</w:t>
      </w:r>
      <w:r>
        <w:rPr>
          <w:rFonts w:ascii="Times New Roman" w:cs="Times New Roman" w:eastAsia="Times New Roman" w:hAnsi="Times New Roman"/>
          <w:sz w:val="12"/>
          <w:szCs w:val="12"/>
          <w:b w:val="1"/>
          <w:bCs w:val="1"/>
          <w:color w:val="auto"/>
        </w:rPr>
        <w:t>pp</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Khurram P.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Khurram P. Sheikh, Chief Executive Officer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color w:val="auto"/>
        </w:rPr>
        <w:t>ATTACHED EXHIBITS:</w:t>
      </w:r>
    </w:p>
    <w:p>
      <w:pPr>
        <w:sectPr>
          <w:pgSz w:w="11900" w:h="16838" w:orient="portrait"/>
          <w:cols w:equalWidth="0" w:num="1">
            <w:col w:w="10139"/>
          </w:cols>
          <w:pgMar w:left="320" w:top="796" w:right="1440" w:bottom="1440" w:gutter="0" w:footer="0" w:header="0"/>
        </w:sect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Exhibit A Exhibit B Exhibit C Exhibit D Exhibit E Exhibit F</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Pre-Paid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Irrevocable Transfer Agent Instructions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Issuance Resolution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Arbitration Provisions</w:t>
      </w:r>
    </w:p>
    <w:p>
      <w:pPr>
        <w:spacing w:after="0" w:line="219" w:lineRule="exact"/>
        <w:rPr>
          <w:sz w:val="20"/>
          <w:szCs w:val="20"/>
          <w:color w:val="auto"/>
        </w:rPr>
      </w:pPr>
    </w:p>
    <w:p>
      <w:pPr>
        <w:sectPr>
          <w:pgSz w:w="11900" w:h="16838" w:orient="portrait"/>
          <w:cols w:equalWidth="0" w:num="2">
            <w:col w:w="720" w:space="580"/>
            <w:col w:w="8839"/>
          </w:cols>
          <w:pgMar w:left="320" w:top="796" w:right="1440" w:bottom="1440" w:gutter="0" w:footer="0" w:header="0"/>
          <w:type w:val="continuous"/>
        </w:sectPr>
      </w:pPr>
    </w:p>
    <w:p>
      <w:pPr>
        <w:spacing w:after="0" w:line="9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5"/>
          <w:szCs w:val="25"/>
          <w:b w:val="1"/>
          <w:bCs w:val="1"/>
          <w:color w:val="auto"/>
        </w:rPr>
        <w:t>PRE - PAID PURCHASE # 1</w:t>
      </w:r>
    </w:p>
    <w:p>
      <w:pPr>
        <w:spacing w:after="0" w:line="236" w:lineRule="exact"/>
        <w:rPr>
          <w:sz w:val="20"/>
          <w:szCs w:val="20"/>
          <w:color w:val="auto"/>
        </w:rPr>
      </w:pPr>
    </w:p>
    <w:p>
      <w:pPr>
        <w:spacing w:after="0"/>
        <w:tabs>
          <w:tab w:leader="none" w:pos="9820" w:val="left"/>
        </w:tabs>
        <w:rPr>
          <w:sz w:val="20"/>
          <w:szCs w:val="20"/>
          <w:color w:val="auto"/>
        </w:rPr>
      </w:pPr>
      <w:r>
        <w:rPr>
          <w:rFonts w:ascii="Times New Roman" w:cs="Times New Roman" w:eastAsia="Times New Roman" w:hAnsi="Times New Roman"/>
          <w:sz w:val="18"/>
          <w:szCs w:val="18"/>
          <w:color w:val="auto"/>
        </w:rPr>
        <w:t>May 22, 2024</w:t>
      </w:r>
      <w:r>
        <w:rPr>
          <w:sz w:val="20"/>
          <w:szCs w:val="20"/>
          <w:color w:val="auto"/>
        </w:rPr>
        <w:tab/>
      </w:r>
      <w:r>
        <w:rPr>
          <w:rFonts w:ascii="Times New Roman" w:cs="Times New Roman" w:eastAsia="Times New Roman" w:hAnsi="Times New Roman"/>
          <w:sz w:val="17"/>
          <w:szCs w:val="17"/>
          <w:color w:val="auto"/>
        </w:rPr>
        <w:t>U.S. $2,625,000.00</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VALUE RECEIVED, CXA</w:t>
      </w:r>
      <w:r>
        <w:rPr>
          <w:rFonts w:ascii="Times New Roman" w:cs="Times New Roman" w:eastAsia="Times New Roman" w:hAnsi="Times New Roman"/>
          <w:sz w:val="12"/>
          <w:szCs w:val="12"/>
          <w:color w:val="auto"/>
        </w:rPr>
        <w:t>pp</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promises to pay to S</w:t>
      </w:r>
      <w:r>
        <w:rPr>
          <w:rFonts w:ascii="Times New Roman" w:cs="Times New Roman" w:eastAsia="Times New Roman" w:hAnsi="Times New Roman"/>
          <w:sz w:val="12"/>
          <w:szCs w:val="12"/>
          <w:color w:val="auto"/>
        </w:rPr>
        <w:t>treeterville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LLC, a Utah limited liability company, or its successors or assigns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$2,625,000.00 and any interest, fees, charges, and late fees accrued hereunder in accordance with the terms set forth herein and to pay interest on the Outstanding Balance at the rate of five percent (5%) per annum from the Purchase Price Date until the same is paid in full. All interest calculations hereunder shall be computed on the basis of a 360-day year comprised of twelve (12) thirty (30) day months, shall compound daily and shall be payable in accordance with the terms of this Pre-Paid Purchase #1 (this “</w:t>
      </w:r>
      <w:r>
        <w:rPr>
          <w:rFonts w:ascii="Times New Roman" w:cs="Times New Roman" w:eastAsia="Times New Roman" w:hAnsi="Times New Roman"/>
          <w:sz w:val="18"/>
          <w:szCs w:val="18"/>
          <w:b w:val="1"/>
          <w:bCs w:val="1"/>
          <w:color w:val="auto"/>
        </w:rPr>
        <w:t>Pre-Paid Purchase</w:t>
      </w:r>
      <w:r>
        <w:rPr>
          <w:rFonts w:ascii="Times New Roman" w:cs="Times New Roman" w:eastAsia="Times New Roman" w:hAnsi="Times New Roman"/>
          <w:sz w:val="18"/>
          <w:szCs w:val="18"/>
          <w:color w:val="auto"/>
        </w:rPr>
        <w:t>”), which is issued and made effective as of the date set forth above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Pre-Paid Purchase is issued pursuant to that certain Securities Purchase Agreement dated May 22, 2024, as the same may be amended from time to time, by and between Company and Investor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Certain capitalized terms used herein are defined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attached hereto and incorporated herein by this reference.</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Pre-Paid Purchase carries an original issue discount of $125,000.00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In addition, Company agrees to pay $20,000.00 to Investor to cover Investor’s legal fees, accounting costs, due diligence, monitoring and other transaction costs incurred in connection with the purchase and sale of this Pre-Paid Purchase (the “</w:t>
      </w:r>
      <w:r>
        <w:rPr>
          <w:rFonts w:ascii="Times New Roman" w:cs="Times New Roman" w:eastAsia="Times New Roman" w:hAnsi="Times New Roman"/>
          <w:sz w:val="18"/>
          <w:szCs w:val="18"/>
          <w:b w:val="1"/>
          <w:bCs w:val="1"/>
          <w:color w:val="auto"/>
        </w:rPr>
        <w:t>Transaction Expense Amount</w:t>
      </w:r>
      <w:r>
        <w:rPr>
          <w:rFonts w:ascii="Times New Roman" w:cs="Times New Roman" w:eastAsia="Times New Roman" w:hAnsi="Times New Roman"/>
          <w:sz w:val="18"/>
          <w:szCs w:val="18"/>
          <w:color w:val="auto"/>
        </w:rPr>
        <w:t>”). The OID is included in the initial principal balance of this Pre-Paid Purchase and is deemed to be fully earned and non-refundable as of the Purchase Price Date. The Initial Purchase Price (as defined in the Purchase Agreement) shall be payable as set forth in the Purchase Agreement. The Transaction Expense Amount will be deducted from the amount funded at issuance.</w:t>
      </w:r>
    </w:p>
    <w:p>
      <w:pPr>
        <w:spacing w:after="0" w:line="183" w:lineRule="exact"/>
        <w:rPr>
          <w:sz w:val="20"/>
          <w:szCs w:val="20"/>
          <w:color w:val="auto"/>
        </w:rPr>
      </w:pPr>
    </w:p>
    <w:p>
      <w:pPr>
        <w:ind w:left="840" w:hanging="184"/>
        <w:spacing w:after="0"/>
        <w:tabs>
          <w:tab w:leader="none" w:pos="8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Prepayment; Effectiveness of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All payments owing hereunder shall be in lawful money of the United States of America or Purchase Shares, as provided for herein, and delivered to Investor at the address or bank account furnished to Company for that purpose. All payments shall be applied first to (a) costs of collection, if any, then to (b) fees and charges, if any, then to (c) accrued and unpaid interest, and thereafter, to (d) principal.</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So long as no Event of Default (as defined below) has occurred, Company shall have the right, exercisable on not less than twenty (20) Trading Days prior written notice to Investor to prepay the Outstanding Balance (less such portion of the Outstanding Balance for which Company has received a Purchase Notice (as defined below) from Investor where the applicable Purchase Shares have not yet been delivered) of this Pre-Paid Purchase, in part or in full, in accordance with this Section 1.2. Any notice of prepayment hereunder (an “</w:t>
      </w:r>
      <w:r>
        <w:rPr>
          <w:rFonts w:ascii="Times New Roman" w:cs="Times New Roman" w:eastAsia="Times New Roman" w:hAnsi="Times New Roman"/>
          <w:sz w:val="18"/>
          <w:szCs w:val="18"/>
          <w:b w:val="1"/>
          <w:bCs w:val="1"/>
          <w:color w:val="auto"/>
        </w:rPr>
        <w:t>Optional Prepayment Notice</w:t>
      </w:r>
      <w:r>
        <w:rPr>
          <w:rFonts w:ascii="Times New Roman" w:cs="Times New Roman" w:eastAsia="Times New Roman" w:hAnsi="Times New Roman"/>
          <w:sz w:val="18"/>
          <w:szCs w:val="18"/>
          <w:color w:val="auto"/>
        </w:rPr>
        <w:t>”) shall be delivered to Investor in accordance with the notice provisions set forth in the Purchase Agreement and shall state: (i) that Company is exercising its right to prepay this Pre-Paid Purchase, and (ii) the date of prepayment, which shall be not less than twenty (20) Trading Days from the date of the Optional Prepayment Notice. On the date fixed for prepayment (the “</w:t>
      </w:r>
      <w:r>
        <w:rPr>
          <w:rFonts w:ascii="Times New Roman" w:cs="Times New Roman" w:eastAsia="Times New Roman" w:hAnsi="Times New Roman"/>
          <w:sz w:val="18"/>
          <w:szCs w:val="18"/>
          <w:b w:val="1"/>
          <w:bCs w:val="1"/>
          <w:color w:val="auto"/>
        </w:rPr>
        <w:t>Optional Prepayment Date</w:t>
      </w:r>
      <w:r>
        <w:rPr>
          <w:rFonts w:ascii="Times New Roman" w:cs="Times New Roman" w:eastAsia="Times New Roman" w:hAnsi="Times New Roman"/>
          <w:sz w:val="18"/>
          <w:szCs w:val="18"/>
          <w:color w:val="auto"/>
        </w:rPr>
        <w:t>”), Company shall make payment of the Optional Prepayment Amount (as defined below) to or upon the order of Investor as may be specified by Investor in writing to Company. For the avoidance of doubt, Investor shall be entitled to exercise its purchase rights in Section 3 until the Optional Prepayment Date. If Company exercises its right to prepay this Pre-Paid Purchase, Company shall make payment to Investor of an amount in cash equal to 115% multiplied by the then Outstanding Balance of this Pre-Paid Purchase being prepaid (the “</w:t>
      </w:r>
      <w:r>
        <w:rPr>
          <w:rFonts w:ascii="Times New Roman" w:cs="Times New Roman" w:eastAsia="Times New Roman" w:hAnsi="Times New Roman"/>
          <w:sz w:val="18"/>
          <w:szCs w:val="18"/>
          <w:b w:val="1"/>
          <w:bCs w:val="1"/>
          <w:color w:val="auto"/>
        </w:rPr>
        <w:t>Optional Prepayment Amount</w:t>
      </w:r>
      <w:r>
        <w:rPr>
          <w:rFonts w:ascii="Times New Roman" w:cs="Times New Roman" w:eastAsia="Times New Roman" w:hAnsi="Times New Roman"/>
          <w:sz w:val="18"/>
          <w:szCs w:val="18"/>
          <w:color w:val="auto"/>
        </w:rPr>
        <w:t>”). In the event Company delivers the Optional Prepayment Amount to Investor prior to the Optional Prepayment Date, the Optional Prepayment Amount shall not be deemed to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38" w:name="page139"/>
    <w:bookmarkEnd w:id="138"/>
    <w:p>
      <w:pPr>
        <w:jc w:val="both"/>
        <w:spacing w:after="0" w:line="258" w:lineRule="auto"/>
        <w:rPr>
          <w:sz w:val="20"/>
          <w:szCs w:val="20"/>
          <w:color w:val="auto"/>
        </w:rPr>
      </w:pPr>
      <w:r>
        <w:rPr>
          <w:rFonts w:ascii="Times New Roman" w:cs="Times New Roman" w:eastAsia="Times New Roman" w:hAnsi="Times New Roman"/>
          <w:sz w:val="18"/>
          <w:szCs w:val="18"/>
          <w:color w:val="auto"/>
        </w:rPr>
        <w:t>to Investor until the Optional Prepayment Date. In the event Company delivers the Optional Prepayment Amount without an Optional Prepayment Notice, then the Optional Prepayment Date will be deemed to be the date that is twenty (20) Trading Days from the date that the Optional Prepayment Amount was delivered to Investor and Investor shall be entitled to exercise its purchase rights set forth herein during such twenty (20) Trading Day period. In addition, if Company delivers an Optional Prepayment Notice and fails to pay the Optional Prepayment Amount due to Investor within twenty (20) Trading Days following the Optional Prepayment Date, Company shall forever forfeit its right to prepay this Pre-Paid Purchase.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In the event the Initial Registration Statement (as defined in the Purchase Agreement) has not been declared effective by the United States Securities and Exchange Commission within ninety (90) days of the Effective Date, then the Outstanding</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Balance will automatically increase by one percent (1%) on such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and continue to increase by one percent (1%) for each thirty (30) days that the Initial Registration Statement is not declared effective.</w:t>
      </w:r>
    </w:p>
    <w:p>
      <w:pPr>
        <w:spacing w:after="0" w:line="200" w:lineRule="exact"/>
        <w:rPr>
          <w:sz w:val="20"/>
          <w:szCs w:val="20"/>
          <w:color w:val="auto"/>
        </w:rPr>
      </w:pPr>
    </w:p>
    <w:p>
      <w:pPr>
        <w:ind w:left="840" w:hanging="184"/>
        <w:spacing w:after="0"/>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This Pre-Paid Purchase is unsecured.</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Purchases; Mechanics</w:t>
      </w:r>
      <w:r>
        <w:rPr>
          <w:rFonts w:ascii="Times New Roman" w:cs="Times New Roman" w:eastAsia="Times New Roman" w:hAnsi="Times New Roman"/>
          <w:sz w:val="18"/>
          <w:szCs w:val="18"/>
          <w:color w:val="auto"/>
        </w:rPr>
        <w:t>. Upon the terms and subject to the conditions of this Pre-Paid Purchase, Investor, at its sole discretion, shall have the right, but not the obligation, to purchase from Company, and Company shall issue and sell to Investor, Purchase Shares by the delivery to Company of Purchase Notices as provided herein.</w:t>
      </w:r>
    </w:p>
    <w:p>
      <w:pPr>
        <w:spacing w:after="0" w:line="176" w:lineRule="exact"/>
        <w:rPr>
          <w:sz w:val="20"/>
          <w:szCs w:val="20"/>
          <w:color w:val="auto"/>
        </w:rPr>
      </w:pPr>
    </w:p>
    <w:p>
      <w:pPr>
        <w:jc w:val="both"/>
        <w:ind w:firstLine="1952"/>
        <w:spacing w:after="0" w:line="266" w:lineRule="auto"/>
        <w:tabs>
          <w:tab w:leader="none" w:pos="218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xml:space="preserve">. At any time following the earlier of six (6) months from the Purchase Price Date and the effectiveness of the Initial Registration Statement, Investor may, by providing written notice to Company in the form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b w:val="1"/>
          <w:bCs w:val="1"/>
          <w:color w:val="auto"/>
        </w:rPr>
        <w:t>Purchase Notice</w:t>
      </w:r>
      <w:r>
        <w:rPr>
          <w:rFonts w:ascii="Times New Roman" w:cs="Times New Roman" w:eastAsia="Times New Roman" w:hAnsi="Times New Roman"/>
          <w:sz w:val="18"/>
          <w:szCs w:val="18"/>
          <w:color w:val="auto"/>
        </w:rPr>
        <w:t>”), require Company to issue and sell Purchase Shares to Investor, in accordance with the following provisions:</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281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 each Purchase Notice, indicate the portion of the Outstanding Balance that Investor elects to apply to the purchase of Purchase Shares pursuant to this Pre-Paid Purchase (each, a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and such amount, the “</w:t>
      </w:r>
      <w:r>
        <w:rPr>
          <w:rFonts w:ascii="Times New Roman" w:cs="Times New Roman" w:eastAsia="Times New Roman" w:hAnsi="Times New Roman"/>
          <w:sz w:val="18"/>
          <w:szCs w:val="18"/>
          <w:b w:val="1"/>
          <w:bCs w:val="1"/>
          <w:color w:val="auto"/>
        </w:rPr>
        <w:t>Purchase Amount</w:t>
      </w:r>
      <w:r>
        <w:rPr>
          <w:rFonts w:ascii="Times New Roman" w:cs="Times New Roman" w:eastAsia="Times New Roman" w:hAnsi="Times New Roman"/>
          <w:sz w:val="18"/>
          <w:szCs w:val="18"/>
          <w:color w:val="auto"/>
        </w:rPr>
        <w:t xml:space="preserve">”), in its sole discretion, and the timing of delivery;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Amount shall not exceed the Outstanding Balance, or result in Investor exceeding the limitation set forth in Section 3.1(b).</w:t>
      </w:r>
    </w:p>
    <w:p>
      <w:pPr>
        <w:spacing w:after="0" w:line="179"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 Notice shall be delivered to Company in accordance with the notice provisions set forth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Agreement.</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3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 Notice shall set forth the Purchase Amount, the Purchase Share Purchase Price, the number of Purchase Shares to be issued by Company and purchased by Investor, and the remaining Outstanding Balance following the Closing (as defined below) of the Purchase.</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293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Shares issued hereunder must be issued free trading to Investor pursuant to: (1) an effective Registration Statement (as defined in the Purchase Agreement); or (2) an applicable exemption from registration (e.g., Rule 144).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9" w:name="page140"/>
    <w:bookmarkEnd w:id="139"/>
    <w:p>
      <w:pPr>
        <w:jc w:val="both"/>
        <w:ind w:firstLine="1952"/>
        <w:spacing w:after="0" w:line="255" w:lineRule="auto"/>
        <w:tabs>
          <w:tab w:leader="none" w:pos="21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Notwithstanding anything to the contrary contained in this Pre-Paid Purchase or the other Transaction Documents (as defined in the Purchase Agreement), Company shall not effect any issuance of Purchase Shares pursuant to this Pre-Paid Purchase to the extent that after giving effect to such issuance would cause Investor (together with its affiliates) to beneficially own a number of Common Shares exceeding 9.99% of the number of Common Shares outstanding on such date (including for such purpose the Common Shares issuable upon such issuance)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For purposes of this section, beneficial ownership of Common Shares will be determined pursuant to Section 13(d) of the 1934 Act (as defined in the Purchase Agreement). The Maximum Percentage is enforceable, unconditional and non-waivable and shall apply to all affiliates and assigns of Investor.</w:t>
      </w:r>
    </w:p>
    <w:p>
      <w:pPr>
        <w:spacing w:after="0" w:line="18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The closing of each Purchase and each sale and purchase of Purchase Shares (each, a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as soon as practicable on or after each Purchase Notice Date in accordance with the procedures set forth below:</w:t>
      </w:r>
    </w:p>
    <w:p>
      <w:pPr>
        <w:spacing w:after="0" w:line="159" w:lineRule="exact"/>
        <w:rPr>
          <w:sz w:val="20"/>
          <w:szCs w:val="20"/>
          <w:color w:val="auto"/>
        </w:rPr>
      </w:pPr>
    </w:p>
    <w:p>
      <w:pPr>
        <w:jc w:val="both"/>
        <w:ind w:firstLine="1952"/>
        <w:spacing w:after="0" w:line="253" w:lineRule="auto"/>
        <w:tabs>
          <w:tab w:leader="none" w:pos="219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a Purchase Notice with respect to each Purchase and, in any event, not later than one Trading Day after such receipt, Company will, or will cause its transfer agent to, electronically transfer such number of Purchase Shares to be purchased by Investor (as set forth in the Purchase Notice) by crediting Investor’s account or its designee’s account at DTC through its DWAC system or by such other means of delivery as may be mutually agreed upon by the parties hereto, and transmit notification to Investor that such share transfer has been requested. Promptly upon receipt of such notification, Investor shall pay to Company the aggregate purchase price for the Purchase Shares (as set forth in the Purchase Notice) by offsetting the Purchase Amount against an equal amount outstanding under this Pre-Paid Purchase (first towards accrued and unpaid interest, if any, and then towards outstanding principal as shown in such Purchase Notice). No fractional shares shall be issued, and any fractional amounts shall be rounded to the nearest whole number of shares. To facilitate the transfer of the Purchase Shares by Investor, the Purchase Shares will not bear any restrictive legends so long as there is an effective Registration Statement or an available exemption from registration covering such Purchase Shares (it being understood and agreed by Investor that notwithstanding the lack of restrictive legends, Investor may only sell such Purchase Shares in compliance with the requirements of the Securities Act (including any applicable prospectus delivery requirements)).</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Closing, each of Company and Investor shall deliver to the other all documents, instruments and writings expressly required to be delivered by either of them pursuant to this Pre-Paid Purchase in order to implement and effect the transactions contemplated herein.</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Triggering Events; Events of Default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If, at any time prior to this Pre-Paid Purchase being paid in full: (i) the VWAP is less than the Floor Price for at least five (5) Trading Days during a period of seven (7) consecutive Trading Days (a “</w:t>
      </w:r>
      <w:r>
        <w:rPr>
          <w:rFonts w:ascii="Times New Roman" w:cs="Times New Roman" w:eastAsia="Times New Roman" w:hAnsi="Times New Roman"/>
          <w:sz w:val="18"/>
          <w:szCs w:val="18"/>
          <w:b w:val="1"/>
          <w:bCs w:val="1"/>
          <w:color w:val="auto"/>
        </w:rPr>
        <w:t>Floor Price Trigger</w:t>
      </w:r>
      <w:r>
        <w:rPr>
          <w:rFonts w:ascii="Times New Roman" w:cs="Times New Roman" w:eastAsia="Times New Roman" w:hAnsi="Times New Roman"/>
          <w:sz w:val="18"/>
          <w:szCs w:val="18"/>
          <w:color w:val="auto"/>
        </w:rPr>
        <w:t>”), or (ii) Company has issued ninety percent (90%) or more of the Common Shares available under the Exchange Cap (as defined in the Purchase Agreement) (an “</w:t>
      </w:r>
      <w:r>
        <w:rPr>
          <w:rFonts w:ascii="Times New Roman" w:cs="Times New Roman" w:eastAsia="Times New Roman" w:hAnsi="Times New Roman"/>
          <w:sz w:val="18"/>
          <w:szCs w:val="18"/>
          <w:b w:val="1"/>
          <w:bCs w:val="1"/>
          <w:color w:val="auto"/>
        </w:rPr>
        <w:t>Exchange Cap Trigger</w:t>
      </w:r>
      <w:r>
        <w:rPr>
          <w:rFonts w:ascii="Times New Roman" w:cs="Times New Roman" w:eastAsia="Times New Roman" w:hAnsi="Times New Roman"/>
          <w:sz w:val="18"/>
          <w:szCs w:val="18"/>
          <w:color w:val="auto"/>
        </w:rPr>
        <w:t>;” and together with the Floor Price Trigger, each a “</w:t>
      </w:r>
      <w:r>
        <w:rPr>
          <w:rFonts w:ascii="Times New Roman" w:cs="Times New Roman" w:eastAsia="Times New Roman" w:hAnsi="Times New Roman"/>
          <w:sz w:val="18"/>
          <w:szCs w:val="18"/>
          <w:b w:val="1"/>
          <w:bCs w:val="1"/>
          <w:color w:val="auto"/>
        </w:rPr>
        <w:t>Trigger</w:t>
      </w:r>
      <w:r>
        <w:rPr>
          <w:rFonts w:ascii="Times New Roman" w:cs="Times New Roman" w:eastAsia="Times New Roman" w:hAnsi="Times New Roman"/>
          <w:sz w:val="18"/>
          <w:szCs w:val="18"/>
          <w:color w:val="auto"/>
        </w:rPr>
        <w:t>”) (the last such day of each such occurrence, a “</w:t>
      </w:r>
      <w:r>
        <w:rPr>
          <w:rFonts w:ascii="Times New Roman" w:cs="Times New Roman" w:eastAsia="Times New Roman" w:hAnsi="Times New Roman"/>
          <w:sz w:val="18"/>
          <w:szCs w:val="18"/>
          <w:b w:val="1"/>
          <w:bCs w:val="1"/>
          <w:color w:val="auto"/>
        </w:rPr>
        <w:t>Trigger Date</w:t>
      </w:r>
      <w:r>
        <w:rPr>
          <w:rFonts w:ascii="Times New Roman" w:cs="Times New Roman" w:eastAsia="Times New Roman" w:hAnsi="Times New Roman"/>
          <w:sz w:val="18"/>
          <w:szCs w:val="18"/>
          <w:color w:val="auto"/>
        </w:rPr>
        <w:t>”), then Company shall make monthly</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repayments of amounts outstanding under this Pre-Paid Purchase beginning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Trading Day after the Trigger Date and continuing on the same day of each successive calendar month until the entire Outstanding Balance shall have been paid or until the payment obligation ceases in accordance with this section. Each monthly payment shall be in an amount equal to the sum of (i) $350,000.00, and (ii) all outstanding accrued and unpaid interest in respect of this Pre-Paid Purchase as of each payment date. The obligation of Company to make monthly payments hereunder shall cease (with respect to any payment that has not yet come due) if at any time after the Trigger Date (i) the VWAP is greater than 120% of the Floor Price for a period of five (5) consecutive Trading Days, in the case of a Floor Price Tigger, or (ii) the Exchange Cap no longer applies, in the case of an Exchange Cap Trigger, unless a subsequent Trigger occurs.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0" w:name="page141"/>
    <w:bookmarkEnd w:id="14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The following are events of default under this Pre-Paid Purchase (each,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 Company fails to pay any principal, interest, fees, charges, or any other amount when due and payable hereunder; (b) a receiver, trustee or other similar official shall be appointed over Company or a material part of its assets and such appointment shall remain uncontested for twenty (20) days or shall not be dismissed or discharged within sixty (60) days; (c) Company becomes insolvent or generally fails to pay, or admits in writing its inability to pay, its debts as they become due, subject to applicable grace periods, if any; (d) Company makes a general assignment for the benefit of creditors; (e) Company files a petition for relief under any bankruptcy, insolvency or similar law (domestic or foreign); (f) an involuntary bankruptcy proceeding is commenced or filed against Company; (g) Company fails to observe or perform any covenant set forth in Section 4 or Section 5 of the Purchase Agreement; (h) the occurrence of a Fundamental Transaction without Investor’s prior written consent; (i) Company fails to timely establish and maintain the Share Reserve (as defined in the Purchase Agreement); (j) Company fails to deliver any Purchase Shares in accordance with the terms hereof; (k) any money judgment, writ or similar process is entered or filed against Company or any subsidiary of Company or any of its property or other assets for more than $500,000.00, and shall remain unvacated, unbonded or unstayed for a period of twenty (20) calendar days unless otherwise consented to by Investor; (l) Company fails to be DWAC Eligible; (m) Company or any subsidiary of Company, breaches any covenant or other term or condition contained in any Other Agreement in any material respect; (n) Company defaults or otherwise fails to observe or perform any covenant, obligation, condition or agreement of Company contained herein or in any other Transaction Document (as defined in the Purchase Agreement) in any material respect, other than those specifically set forth in this Section 4.2 and Section 4 and Section 5 of the Purchase Agreement; (o) any representation, warranty or other statement made or furnished by or on behalf of Company to Investor herein, in any Transaction Document, or otherwise in connection with the issuance of this Pre-Paid Purchase is false, incorrect, incomplete or misleading in any material respect when made or furnished; or (p) Company effectuates a reverse split of its Common Shares without twenty (20) Trading Days prior written notice to Investor.</w:t>
      </w:r>
    </w:p>
    <w:p>
      <w:pPr>
        <w:spacing w:after="0" w:line="19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Default Remedies</w:t>
      </w:r>
      <w:r>
        <w:rPr>
          <w:rFonts w:ascii="Times New Roman" w:cs="Times New Roman" w:eastAsia="Times New Roman" w:hAnsi="Times New Roman"/>
          <w:sz w:val="18"/>
          <w:szCs w:val="18"/>
          <w:color w:val="auto"/>
        </w:rPr>
        <w:t>. At any time and from time to time following the occurrence of any Event of Default, Investor may accelerate this Pre-Paid Purchase by written notice to Company, with the Outstanding Balance becoming immediately due and payable in cash at the Mandatory Default Amount. Notwithstanding the foregoing, upon the occurrence of any Event of Default described in clauses (b) – (f) of Section 4.2, an Event of Default will be deemed to have occurred and the Outstanding Balance as of the date of the occurrence of such Event of Default shall become immediately and automatically due and payable in cash at the Mandatory Default Amount. At any time following the occurrence of any Event of Default, upon written notice given by Investor to Company, interest shall accrue on the Outstanding Balance beginning on the date the applicable Event of Default occurred at an interest rate equal to the lesser of eighteen percent (18%) per annum or the maximum rate permitted under applicable law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Notwithstanding the foregoing, and for the avoidance of doubt, Investor may continue making Purchases pursuant to Section 3 at any time following an Event of Default until such time as the Outstanding Balance is paid in full. In connection with acceleration described herein, Investor need not provide, and Company hereby waives, any presentment, demand, protest or other notice of any kind, and Investor may immediately and without expiration of any grace period enforce any and all of its rights and remedies hereunder and all other remedies available to it under applicable law. Such acceleration may be rescinded and annulled by Investor at any time prior to payment hereunder and Investor shall have all rights as a holder of the Pre-Paid Purchase until such time, if any, as Investor receives full payment pursuant to this Section 4.3. No such rescission or annulment shall affect any subsequent Event of Default or impair any right consequent thereon. Nothing herein shall limit Investor’s right to pursue any other remedies available to it at law or in equity including, without limitation, a decree of specific performance and/or injunctive relief with respect to Company’s failure to timely deliver Purchase Shares pursuant to a Purchase as required pursuant to the terms hereof.</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1" w:name="page142"/>
    <w:bookmarkEnd w:id="141"/>
    <w:p>
      <w:pPr>
        <w:jc w:val="both"/>
        <w:ind w:firstLine="656"/>
        <w:spacing w:after="0" w:line="261" w:lineRule="auto"/>
        <w:tabs>
          <w:tab w:leader="none" w:pos="8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Obligation; No Offset</w:t>
      </w:r>
      <w:r>
        <w:rPr>
          <w:rFonts w:ascii="Times New Roman" w:cs="Times New Roman" w:eastAsia="Times New Roman" w:hAnsi="Times New Roman"/>
          <w:sz w:val="18"/>
          <w:szCs w:val="18"/>
          <w:color w:val="auto"/>
        </w:rPr>
        <w:t>. Company acknowledges that this Pre-Paid Purchase is an unconditional, valid, binding and enforceable obligation of Company not subject to offset, deduction or counterclaim of any kind. Company hereby waives any rights of offset it now has or may have hereafter against Investor, its successors and assigns, and agrees to make the payments or Purchases called for herein in accordance with the terms of this Pre-Paid Purchase.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Pre-Paid Purchase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If Company or any subsidiary thereof, as applicable, at any time this Pre-Paid Purchase is outstanding, shall sell, issue or grant any Common Shares, option to purchase Common Shares, right to reprice, preferred shares convertible into Common Shares, debt, warrants, options or other instruments or securities which are convertible into or exercisable or exchangeable for Common Shares to any party other than Investor (collectively, the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other than Exempt Issuances at an effective price per share less than the then effective Fixed Price (such issuance is referred to herein as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the Fixed Price shall be automatically reduced and only reduced to equal such lower effective price per share. If the holder of any Equity Securities so issued shall at any time, whether by operation of purchase price adjustments, reset provisions, floating conversion, exercise or exchange prices or otherwise, or due to warrants, options, or rights per share which are issued in connection with such Dilutive Issuance, be entitled to receive Common Shares at an effective price per share that is less than the Fixed Price, such issuance shall be deemed to have occurred for less than the Fixed Price on the date of such Dilutive Issuance, and the then effective Fixed Price shall be reduced and only reduced to equal such lower effective price per share. Such adjustments described above to the Fixed Price shall be permanent (subject to additional adjustments under this section), and shall be made whenever such Equity Securities are issued. Company shall notify Investor, in writing, no later than the Trading Day following the issuance of any Equity Securities subject to this Section 7.1, indicating therein the applicable issuance price, or applicable reset price, exchange price, conversion price, or other pricing terms (such notice, the “</w:t>
      </w:r>
      <w:r>
        <w:rPr>
          <w:rFonts w:ascii="Times New Roman" w:cs="Times New Roman" w:eastAsia="Times New Roman" w:hAnsi="Times New Roman"/>
          <w:sz w:val="18"/>
          <w:szCs w:val="18"/>
          <w:b w:val="1"/>
          <w:bCs w:val="1"/>
          <w:color w:val="auto"/>
        </w:rPr>
        <w:t>Dilutive Issuance Notice</w:t>
      </w:r>
      <w:r>
        <w:rPr>
          <w:rFonts w:ascii="Times New Roman" w:cs="Times New Roman" w:eastAsia="Times New Roman" w:hAnsi="Times New Roman"/>
          <w:sz w:val="18"/>
          <w:szCs w:val="18"/>
          <w:color w:val="auto"/>
        </w:rPr>
        <w:t>”). For purposes of clarity, whether or not Company provides a Dilutive Issuance Notice pursuant to this Section 7.1, upon the occurrence of any Dilutive Issuance, on the date of such Dilutive Issuance the Fixed Price shall be lowered to equal the applicable effective price per share regardless of whether Company or Investor accurately refers to such lower effective price per share in any subsequent Purchase Notice.</w:t>
      </w:r>
    </w:p>
    <w:p>
      <w:pPr>
        <w:spacing w:after="0" w:line="19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Adjustment of Fixed Price upon Subdivision or Combination of Common Shares</w:t>
      </w:r>
      <w:r>
        <w:rPr>
          <w:rFonts w:ascii="Times New Roman" w:cs="Times New Roman" w:eastAsia="Times New Roman" w:hAnsi="Times New Roman"/>
          <w:sz w:val="18"/>
          <w:szCs w:val="18"/>
          <w:color w:val="auto"/>
        </w:rPr>
        <w:t>. Without limiting any provision hereof, if Company at any time on or after the Effective Date subdivides (by any stock split, stock dividend, recapitalization or otherwise) one or more classes of its outstanding Common Shares into a greater number of shares, the Fixed Price in effect immediately prior to such subdivision will be proportionately reduced. Without limiting any provision hereof, if Company at any time on or after the Effective Date combines (by combination, reverse stock split or otherwise) one or more classes of its outstanding Common Shares into a smaller number of shares, the Fixed Price in effect immediately prior to such combination will be proportionately increased. Any adjustment pursuant to this Section 7.2 shall become effective immediately after the effective date of such subdivision or combination. If any event requiring an adjustment under this Section 7.2 occurs during the period that a Market Price is calculated hereunder, then the calculation of such Market Price shall be adjusted appropriately to reflect such event.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2" w:name="page143"/>
    <w:bookmarkEnd w:id="14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Company (or any subsidiary) shall take any action to which the provisions hereof are not strictly applicable, or, if applicable, would not operate to protect Investor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Company’s board of directors shall in good faith determine and implement an appropriate adjustment in the Fixed Price so as to protect the rights of Investor, provided that no such adjustment pursuant to this Section 7.3 will increase the Fixed Price as otherwise determined pursuant to this Section 7, provided further that if Investor does not accept such adjustments as appropriately protecting its interests hereunder against such dilution, then Company’s board of directors and Investor shall agree, in good faith, upon an independent investment bank of nationally recognized standing to make such appropriate adjustments, whose determination shall be final and binding and whose fees and expenses shall be borne by Company.</w:t>
      </w:r>
    </w:p>
    <w:p>
      <w:pPr>
        <w:spacing w:after="0" w:line="188" w:lineRule="exact"/>
        <w:rPr>
          <w:sz w:val="20"/>
          <w:szCs w:val="20"/>
          <w:color w:val="auto"/>
        </w:rPr>
      </w:pPr>
    </w:p>
    <w:p>
      <w:pPr>
        <w:ind w:firstLine="656"/>
        <w:spacing w:after="0" w:line="282" w:lineRule="auto"/>
        <w:tabs>
          <w:tab w:leader="none" w:pos="82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In the event that an opinion of counsel is needed for Purchases under this Pre-Paid Purchase, Investor has the right to have any such opinion provided by its counsel.</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Pre-Paid Purchase shall be construed and enforced in accordance with, and all questions concerning the construction, validity, interpretation and performance of this Pre-Paid Purchase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By its issuance or acceptance of this Pre-Paid Purchase, each party agrees to be bound by the Arbitration Provisions (as defined in the Purchase Agreement) set forth as an exhibit to the Purchase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repayment of the entire Outstanding Balance, this Pre-Paid Purchase shall be deemed paid in full, shall automatically be deemed canceled, and shall not be reissued.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prior written consent of both parties hereto shall be required for any change or amendment to this Pre-Paid Purchase.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Company may not assign this Pre-Paid Purchase without the prior written consent of Investor. This Pre-Paid Purchase and any Purchase Shares issued upon Purchase of this Pre-Paid Purchase may be offered, sold, assigned or transferred by Investor without the consent of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Pre-Paid Purchase, unless otherwise provided herein, such notice shall be given in accordance with the subsection of the Purchase Agreement titled “Notices.”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Investor and Company agree that in the event Company fails to comply with any of the terms or provisions of this Pre-Paid Purchase, Investor’s damages would be uncertain and difficult (if not impossible) to accurately estimate because of the parties’ inability to predict future interest rates, future share prices, future trading volumes and other relevant factors. Accordingly, Investor and Company agree that any fees, balance adjustments, Default Interest or other charges assessed under this Pre-Paid Purchase are not penalties but instead are intended by the parties to be, and shall be deemed, liquidated damages (under Investor’s and Company’s expectations that any such liquidated damages will tack back to the Purchase Price Date for purposes of determining the holding period under Rule 144).</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3" w:name="page144"/>
    <w:bookmarkEnd w:id="143"/>
    <w:p>
      <w:pPr>
        <w:ind w:left="-20" w:firstLine="656"/>
        <w:spacing w:after="0" w:line="282" w:lineRule="auto"/>
        <w:tabs>
          <w:tab w:leader="none" w:pos="92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Pre-Paid Purchase is construed to be in violation of any law, such part shall be modified to achieve the objective of Company and Investor to the fullest extent permitted by law and the balance of this Pre-Paid Purchase shall remain in full force and effect.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color w:val="auto"/>
        </w:rPr>
        <w:t>IN WITNESS WHEREOF, Company has caused this Pre Paid Purchase to be duly executed as of the Effective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CXA</w:t>
      </w:r>
      <w:r>
        <w:rPr>
          <w:rFonts w:ascii="Times New Roman" w:cs="Times New Roman" w:eastAsia="Times New Roman" w:hAnsi="Times New Roman"/>
          <w:sz w:val="12"/>
          <w:szCs w:val="12"/>
          <w:b w:val="1"/>
          <w:bCs w:val="1"/>
          <w:color w:val="auto"/>
        </w:rPr>
        <w:t>pp</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Khurram P.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jc w:val="right"/>
        <w:ind w:right="879"/>
        <w:spacing w:after="0"/>
        <w:rPr>
          <w:sz w:val="20"/>
          <w:szCs w:val="20"/>
          <w:color w:val="auto"/>
        </w:rPr>
      </w:pPr>
      <w:r>
        <w:rPr>
          <w:rFonts w:ascii="Times New Roman" w:cs="Times New Roman" w:eastAsia="Times New Roman" w:hAnsi="Times New Roman"/>
          <w:sz w:val="18"/>
          <w:szCs w:val="18"/>
          <w:color w:val="auto"/>
        </w:rPr>
        <w:t>Khurram P. Sheikh,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ACCEPTED AND AGREED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John M.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200" w:lineRule="exact"/>
        <w:rPr>
          <w:sz w:val="20"/>
          <w:szCs w:val="20"/>
          <w:color w:val="auto"/>
        </w:rPr>
      </w:pPr>
    </w:p>
    <w:p>
      <w:pPr>
        <w:spacing w:after="0" w:line="23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[Signature Page to Pre-Paid Purchase #1]</w:t>
      </w:r>
    </w:p>
    <w:p>
      <w:pPr>
        <w:spacing w:after="0" w:line="3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Pre-Paid Purchase, the following terms shall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shares of Company’s common stock, par value $0.0001.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A2.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A3. “</w:t>
      </w:r>
      <w:r>
        <w:rPr>
          <w:rFonts w:ascii="Times New Roman" w:cs="Times New Roman" w:eastAsia="Times New Roman" w:hAnsi="Times New Roman"/>
          <w:sz w:val="18"/>
          <w:szCs w:val="18"/>
          <w:b w:val="1"/>
          <w:bCs w:val="1"/>
          <w:color w:val="auto"/>
        </w:rPr>
        <w:t>DTC/FAST Program</w:t>
      </w:r>
      <w:r>
        <w:rPr>
          <w:rFonts w:ascii="Times New Roman" w:cs="Times New Roman" w:eastAsia="Times New Roman" w:hAnsi="Times New Roman"/>
          <w:sz w:val="18"/>
          <w:szCs w:val="18"/>
          <w:color w:val="auto"/>
        </w:rPr>
        <w:t>” means the DTC’s Fast Automated Securities Transfer program.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A4.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DTC’s Deposit/Withdrawal at Custodian system.</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A5. “</w:t>
      </w:r>
      <w:r>
        <w:rPr>
          <w:rFonts w:ascii="Times New Roman" w:cs="Times New Roman" w:eastAsia="Times New Roman" w:hAnsi="Times New Roman"/>
          <w:sz w:val="18"/>
          <w:szCs w:val="18"/>
          <w:b w:val="1"/>
          <w:bCs w:val="1"/>
          <w:color w:val="auto"/>
        </w:rPr>
        <w:t>DWAC Eligible</w:t>
      </w:r>
      <w:r>
        <w:rPr>
          <w:rFonts w:ascii="Times New Roman" w:cs="Times New Roman" w:eastAsia="Times New Roman" w:hAnsi="Times New Roman"/>
          <w:sz w:val="18"/>
          <w:szCs w:val="18"/>
          <w:color w:val="auto"/>
        </w:rPr>
        <w:t>” means that (a) Company’s Common Shares is eligible at DTC for full services pursuant to DTC’s operational arrangements, including without limitation transfer through DTC’s DWAC system; (b) Company has been approved (without revocation) by DTC’s underwriting department; (c) Company’s transfer agent is approved as an agent in the DTC/FAST Program; (d) the Purchase Shares are otherwise eligible for delivery via DWAC; and (e) Company’s transfer agent does not have a policy prohibiting or limiting delivery of the Purchase Shares via DWAC.</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A6. “</w:t>
      </w:r>
      <w:r>
        <w:rPr>
          <w:rFonts w:ascii="Times New Roman" w:cs="Times New Roman" w:eastAsia="Times New Roman" w:hAnsi="Times New Roman"/>
          <w:sz w:val="18"/>
          <w:szCs w:val="18"/>
          <w:b w:val="1"/>
          <w:bCs w:val="1"/>
          <w:color w:val="auto"/>
        </w:rPr>
        <w:t>Default Effect</w:t>
      </w:r>
      <w:r>
        <w:rPr>
          <w:rFonts w:ascii="Times New Roman" w:cs="Times New Roman" w:eastAsia="Times New Roman" w:hAnsi="Times New Roman"/>
          <w:sz w:val="18"/>
          <w:szCs w:val="18"/>
          <w:color w:val="auto"/>
        </w:rPr>
        <w:t>” means multiplying the Outstanding Balance as of the date the applicable Event of Default occurred by ten percent (10%) and then adding the resulting product to the Outstanding Balance as of the date the applicable Event of Default occurred, with the sum of the foregoing then becoming the Outstanding Balance under this Pre-Paid Purchase as of the date the applicable Event of Default occurred.</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A7. “</w:t>
      </w:r>
      <w:r>
        <w:rPr>
          <w:rFonts w:ascii="Times New Roman" w:cs="Times New Roman" w:eastAsia="Times New Roman" w:hAnsi="Times New Roman"/>
          <w:sz w:val="18"/>
          <w:szCs w:val="18"/>
          <w:b w:val="1"/>
          <w:bCs w:val="1"/>
          <w:color w:val="auto"/>
        </w:rPr>
        <w:t>Exempt Issuance</w:t>
      </w:r>
      <w:r>
        <w:rPr>
          <w:rFonts w:ascii="Times New Roman" w:cs="Times New Roman" w:eastAsia="Times New Roman" w:hAnsi="Times New Roman"/>
          <w:sz w:val="18"/>
          <w:szCs w:val="18"/>
          <w:color w:val="auto"/>
        </w:rPr>
        <w:t>” means (i) Common Shares or options issued to employees, consultants, officers or directors of Company pursuant to Company’s equity incentive plan or pursuant to the compensation agreements previously authorized by the Board of Directors; and (ii) securities issued pursuant to acquisitions or strategic transactions and the payment of contractor invoices in the ordinary course of business approved by a majority of the disinterested directors of Company, provided that such securities are issued as “restricted securities” (as defined in Rule 144) and carry no registration rights that require or permit the filing of any registration statement in connection therewith and provided that any such issuance shall only be to a person (or to the equityholders of a person) which is, itself or through its subsidiaries, an operating company or an owner of an asset in a business synergistic with the business of Company and shall provide to Company additional benefits in addition to the investment of funds, but shall not include a transaction in which Company is issuing securities primarily for the purpose of raising capital or to an entity whose primary business is investing in securities.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A8. “</w:t>
      </w:r>
      <w:r>
        <w:rPr>
          <w:rFonts w:ascii="Times New Roman" w:cs="Times New Roman" w:eastAsia="Times New Roman" w:hAnsi="Times New Roman"/>
          <w:sz w:val="18"/>
          <w:szCs w:val="18"/>
          <w:b w:val="1"/>
          <w:bCs w:val="1"/>
          <w:color w:val="auto"/>
        </w:rPr>
        <w:t>Fixed Price</w:t>
      </w:r>
      <w:r>
        <w:rPr>
          <w:rFonts w:ascii="Times New Roman" w:cs="Times New Roman" w:eastAsia="Times New Roman" w:hAnsi="Times New Roman"/>
          <w:sz w:val="18"/>
          <w:szCs w:val="18"/>
          <w:color w:val="auto"/>
        </w:rPr>
        <w:t>” means $3.996.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A9. “</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$0.666.</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A10.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Company or any of its subsidiaries shall, directly or indirectly, in one or more related transactions, consolidate or merge with or into (whether or not Company or any of its subsidiaries is the surviving corporation) any other person or entity, or (ii) Company or any of its subsidiaries shall, directly or indirectly, in one or more related transactions, sell, lease, license, assign, transfer, convey or otherwise dispose of all or substantially all of its respective properties or assets to any other person or entity, or (iii) Company or any of its subsidiaries shall, directly or indirectly, in one or more related transactions, allow any other person or entity to make a purchase, tender or exchange offer that is accepted by the holders of more than 50% of the outstanding shares of voting stock of Company (not including any shares of voting stock of Company held by the person or persons making or party to, or associated or affiliated with the persons or entities making or party to, such purchase, tender or exchange offer),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Attachment 1 to Pre-Paid Purchase #1,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6" w:name="page147"/>
    <w:bookmarkEnd w:id="146"/>
    <w:p>
      <w:pPr>
        <w:jc w:val="both"/>
        <w:spacing w:after="0" w:line="253" w:lineRule="auto"/>
        <w:rPr>
          <w:sz w:val="20"/>
          <w:szCs w:val="20"/>
          <w:color w:val="auto"/>
        </w:rPr>
      </w:pPr>
      <w:r>
        <w:rPr>
          <w:rFonts w:ascii="Times New Roman" w:cs="Times New Roman" w:eastAsia="Times New Roman" w:hAnsi="Times New Roman"/>
          <w:sz w:val="18"/>
          <w:szCs w:val="18"/>
          <w:color w:val="auto"/>
        </w:rPr>
        <w:t>or (iv) Company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50% of the outstanding shares of voting stock of Company (not including any shares of voting stock of Company held by the other persons or entities making or party to, or associated or affiliated with the other persons or entities making or party to, such stock or share purchase agreement or other business combination), or (v) Company or any of its subsidiaries shall, directly or indirectly, in one or more related transactions, reorganize, recapitalize or reclassify the Common Shares, other than an increase in the number of authorized shares of Company’s Common Shares, or (b)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Company. For the avoidance of doubt, Company or any if its subsidiaries entering into a definitive agreement that contemplates a Fundamental Transaction will be deemed to be a Fundamental Transaction.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A11. “</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Default Effect.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A12. “</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means 91% of the lowest daily VWAP during the ten (10) consecutive Trading Days immediately prior to the Purchase Notice Date, but in any event not lower than the Floor Price.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A13. “</w:t>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means, collectively, all existing and future agreements and instruments between, among or by Company (or it subsidiary), on the one hand, and Investor (or an affiliate), on the other hand.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A14. “</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Initial Purchase Price, as reduced or increased, as the case may be, pursuant to the terms hereof for payment, Purchases, offset, or otherwise, accrued but unpaid interest, collection and enforcements costs (including attorneys’ fees) incurred by Investor, transfer, stamp, issuance and similar taxes and fees related to Purchases, and any other fees or charges incurred under this Pre-Paid Purchase.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A15. “</w:t>
      </w:r>
      <w:r>
        <w:rPr>
          <w:rFonts w:ascii="Times New Roman" w:cs="Times New Roman" w:eastAsia="Times New Roman" w:hAnsi="Times New Roman"/>
          <w:sz w:val="18"/>
          <w:szCs w:val="18"/>
          <w:b w:val="1"/>
          <w:bCs w:val="1"/>
          <w:color w:val="auto"/>
        </w:rPr>
        <w:t>Purchase Notice Date</w:t>
      </w:r>
      <w:r>
        <w:rPr>
          <w:rFonts w:ascii="Times New Roman" w:cs="Times New Roman" w:eastAsia="Times New Roman" w:hAnsi="Times New Roman"/>
          <w:sz w:val="18"/>
          <w:szCs w:val="18"/>
          <w:color w:val="auto"/>
        </w:rPr>
        <w:t>” means the date the applicable Purchase Notice is delivered by Investor to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A16. “</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Initial Purchase Price is delivered by Investor to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A17. “</w:t>
      </w:r>
      <w:r>
        <w:rPr>
          <w:rFonts w:ascii="Times New Roman" w:cs="Times New Roman" w:eastAsia="Times New Roman" w:hAnsi="Times New Roman"/>
          <w:sz w:val="18"/>
          <w:szCs w:val="18"/>
          <w:b w:val="1"/>
          <w:bCs w:val="1"/>
          <w:color w:val="auto"/>
        </w:rPr>
        <w:t>Purchase Shares</w:t>
      </w:r>
      <w:r>
        <w:rPr>
          <w:rFonts w:ascii="Times New Roman" w:cs="Times New Roman" w:eastAsia="Times New Roman" w:hAnsi="Times New Roman"/>
          <w:sz w:val="18"/>
          <w:szCs w:val="18"/>
          <w:color w:val="auto"/>
        </w:rPr>
        <w:t>” Common Shares purchased pursuant to this Pre-Paid Purchase.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A18. “</w:t>
      </w:r>
      <w:r>
        <w:rPr>
          <w:rFonts w:ascii="Times New Roman" w:cs="Times New Roman" w:eastAsia="Times New Roman" w:hAnsi="Times New Roman"/>
          <w:sz w:val="18"/>
          <w:szCs w:val="18"/>
          <w:b w:val="1"/>
          <w:bCs w:val="1"/>
          <w:color w:val="auto"/>
        </w:rPr>
        <w:t>Purchase Share Purchase Price</w:t>
      </w:r>
      <w:r>
        <w:rPr>
          <w:rFonts w:ascii="Times New Roman" w:cs="Times New Roman" w:eastAsia="Times New Roman" w:hAnsi="Times New Roman"/>
          <w:sz w:val="18"/>
          <w:szCs w:val="18"/>
          <w:color w:val="auto"/>
        </w:rPr>
        <w:t>” means a price per share equal to the lower of (a) the Fixed Price, and (b) the Market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A19.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Company’s principal market is open for trading.</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A20.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the volume weighted average price of the Common Shares on the principal market for a particular Trading Day or set of Trading Days, as the case may be, as reported by Bloomberg.</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Attachment 1 to Pre-Paid Purchase #1,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Streeterville Capital, LLC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303 East Wacker Drive, Suite 1040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Chicago, Illinois 60601</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NOTICE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behalf of Streeterville Capital, LLC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the undersigned hereby certifies, with respect to the purchase of Common Shares of CXApp Inc.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issuable in connection with this Purchase Notice, delivered pursuant to that certain Pre-Paid Purchase #1, dated as of May 22, 2024 (as amended and supplemented from time to time), as follows:</w:t>
      </w:r>
    </w:p>
    <w:p>
      <w:pPr>
        <w:spacing w:after="0" w:line="175"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Notice Date: ____________</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Amount: ____________</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 ____________</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____________</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Share Purchase Price (lower of C and D): ____________</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Purchase Shares Due to Investor: ____________</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Balance Following Purchase: 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AND/OR EMAIL:</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INVESTOR: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of CXApp Inc. (f/k/a KINS Technology Group Inc.) Form S-1 [File No. 333-271240] and Form S-8 [File No. 333-272067] of our report dated May 23, 2024, which includes an explanatory paragraph as to the Company’s ability to continue as a going concern, with respect to our audits of the combined carve audits of CXApp Holdings Corp. (f/k/a Design Reactor, Inc. and Subsidiaries) (Predecessor) as of December 31, 2022 and for the year ended December 31, 2023 and the period from January 1, 2023 through March 14, 2023, which report appears in the Annual Report on Form 10-K of CXApp Inc. (f/k/a KINS Technology Group Inc.) for the year ended December 31,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S-1 (File No. 333-271240) and Form S-8 (File No. 333-272067) of CXApp Inc our report dated May 23, 2024, relating to the consolidated financial statements of CXApp Inc. as of December 31, 2023 and for the period from March 15, 2023 to December 31, 2023, and the related notes included in this Annual Report on Form 10-K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WithumSmith+Brown,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Khurram Sheikh, certify that:</w:t>
      </w:r>
    </w:p>
    <w:p>
      <w:pPr>
        <w:spacing w:after="0" w:line="225"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CXApp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980" w:hanging="324"/>
        <w:spacing w:after="0" w:line="266" w:lineRule="auto"/>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24, 2024</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Khurram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Khurram Sheikh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Khurram Sheikh, certify that:</w:t>
      </w:r>
    </w:p>
    <w:p>
      <w:pPr>
        <w:spacing w:after="0" w:line="22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CXApp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980" w:hanging="324"/>
        <w:spacing w:after="0" w:line="266"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24, 2024</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Khurram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Khurram Sheikh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CXApp Inc. (the “Company”) on Form 10-K for the year ended December 31, 2023 as filed with the Securities and Exchange Commission on the date hereof (the “Report”), I certify, in the capacity and on the date indicated below, pursuant to 18 U.S.C. § 1350, as adopted pursuant to § 906 of the Sarbanes-Oxley Act of 2002, that:</w:t>
      </w:r>
    </w:p>
    <w:p>
      <w:pPr>
        <w:spacing w:after="0" w:line="176" w:lineRule="exact"/>
        <w:rPr>
          <w:sz w:val="20"/>
          <w:szCs w:val="20"/>
          <w:color w:val="auto"/>
        </w:rPr>
      </w:pPr>
    </w:p>
    <w:p>
      <w:pPr>
        <w:ind w:left="180" w:hanging="172"/>
        <w:spacing w:after="0"/>
        <w:tabs>
          <w:tab w:leader="none" w:pos="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24, 2024</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Khurram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Khurram Sheikh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CXApp Inc. (the “Company”) on Form 10-K for the year ended December 31, 2023 as filed with the Securities and Exchange Commission on the date hereof (the “Report”), I certify, in the capacity and on the date indicated below, pursuant to 18 U.S.C. § 1350, as adopted pursuant to § 906 of the Sarbanes-Oxley Act of 2002, that:</w:t>
      </w:r>
    </w:p>
    <w:p>
      <w:pPr>
        <w:spacing w:after="0" w:line="176" w:lineRule="exact"/>
        <w:rPr>
          <w:sz w:val="20"/>
          <w:szCs w:val="20"/>
          <w:color w:val="auto"/>
        </w:rPr>
      </w:pPr>
    </w:p>
    <w:p>
      <w:pPr>
        <w:ind w:left="180" w:hanging="172"/>
        <w:spacing w:after="0"/>
        <w:tabs>
          <w:tab w:leader="none" w:pos="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24, 2024</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Khurram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Khurram Sheikh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CXAPP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CXApp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believes that it is appropriate for the Company to adopt this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to be applied to the Executive Officers of the Company and adopts this Policy to be effective as of the Effective Date.</w:t>
      </w:r>
    </w:p>
    <w:p>
      <w:pPr>
        <w:spacing w:after="0" w:line="172"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Policy, the following definitions shall apply:</w:t>
      </w:r>
    </w:p>
    <w:p>
      <w:pPr>
        <w:spacing w:after="0" w:line="225" w:lineRule="exact"/>
        <w:rPr>
          <w:sz w:val="20"/>
          <w:szCs w:val="20"/>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the Company and each of its Subsidiaries, as applicable.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Compensation</w:t>
      </w:r>
      <w:r>
        <w:rPr>
          <w:rFonts w:ascii="Times New Roman" w:cs="Times New Roman" w:eastAsia="Times New Roman" w:hAnsi="Times New Roman"/>
          <w:sz w:val="18"/>
          <w:szCs w:val="18"/>
          <w:color w:val="auto"/>
        </w:rPr>
        <w:t>” means any Incentive-Based Compensation granted, vested or paid to a person who served as an Executive Officer at any time during the performance period for the Incentive-Based Compensation and that was Received (i) on or after the effective date of the Nasdaq listing standard, (ii) after the person became an Executive Officer and (iii) at a time that the Company had a class of securities listed on a national securities exchange or a national securities association.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December 1, 2023.</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5" w:name="page156"/>
    <w:bookmarkEnd w:id="155"/>
    <w:p>
      <w:pPr>
        <w:jc w:val="both"/>
        <w:ind w:left="324" w:hanging="324"/>
        <w:spacing w:after="0" w:line="257" w:lineRule="auto"/>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w:t>
      </w:r>
    </w:p>
    <w:p>
      <w:pPr>
        <w:spacing w:after="0" w:line="1" w:lineRule="exact"/>
        <w:rPr>
          <w:rFonts w:ascii="Times New Roman" w:cs="Times New Roman" w:eastAsia="Times New Roman" w:hAnsi="Times New Roman"/>
          <w:sz w:val="18"/>
          <w:szCs w:val="18"/>
          <w:color w:val="auto"/>
        </w:rPr>
      </w:pPr>
    </w:p>
    <w:p>
      <w:pPr>
        <w:jc w:val="both"/>
        <w:ind w:left="324"/>
        <w:spacing w:after="0" w:line="255" w:lineRule="auto"/>
        <w:tabs>
          <w:tab w:leader="none" w:pos="60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spacing w:after="0" w:line="18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Home Country</w:t>
      </w:r>
      <w:r>
        <w:rPr>
          <w:rFonts w:ascii="Times New Roman" w:cs="Times New Roman" w:eastAsia="Times New Roman" w:hAnsi="Times New Roman"/>
          <w:sz w:val="18"/>
          <w:szCs w:val="18"/>
          <w:color w:val="auto"/>
        </w:rPr>
        <w:t>” means the Company’s jurisdiction of incorporation.</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Period</w:t>
      </w:r>
      <w:r>
        <w:rPr>
          <w:rFonts w:ascii="Times New Roman" w:cs="Times New Roman" w:eastAsia="Times New Roman" w:hAnsi="Times New Roman"/>
          <w:sz w:val="18"/>
          <w:szCs w:val="18"/>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30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156" w:name="page157"/>
    <w:bookmarkEnd w:id="156"/>
    <w:p>
      <w:pPr>
        <w:ind w:left="980" w:hanging="324"/>
        <w:spacing w:after="0"/>
        <w:tabs>
          <w:tab w:leader="none" w:pos="9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 of Erroneously Awarded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Nasdaq),</w:t>
      </w:r>
    </w:p>
    <w:p>
      <w:pPr>
        <w:spacing w:after="0" w:line="5" w:lineRule="exact"/>
        <w:rPr>
          <w:sz w:val="20"/>
          <w:szCs w:val="20"/>
          <w:color w:val="auto"/>
        </w:rPr>
      </w:pPr>
    </w:p>
    <w:p>
      <w:pPr>
        <w:jc w:val="both"/>
        <w:ind w:firstLine="8"/>
        <w:spacing w:after="0" w:line="253" w:lineRule="auto"/>
        <w:tabs>
          <w:tab w:leader="none" w:pos="27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Company Group, to fail to meet the requirements of 26 U.S.C. 401(a)(13) or 26 U.S.C. 411(a) and regulations thereunder.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Means of Repayment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U.S.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7" w:name="page158"/>
    <w:bookmarkEnd w:id="157"/>
    <w:p>
      <w:pPr>
        <w:ind w:left="660" w:hanging="328"/>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185"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Nasdaq.</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8" w:name="page159"/>
    <w:bookmarkEnd w:id="158"/>
    <w:p>
      <w:pPr>
        <w:ind w:left="660" w:hanging="328"/>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permitted by, and in a manner consistent with applicable law, including SEC and Nasdaq rules, the Committee may terminate, suspend or amend this Policy at any time in its discretion.</w:t>
      </w:r>
    </w:p>
    <w:p>
      <w:pPr>
        <w:spacing w:after="0" w:line="158"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CXAPP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 CONSENT AND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 acknowledge that I have received and reviewed a copy of the CXApp Inc. Clawback Policy (as may be amended from time to time,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and I have been given an opportunity to ask questions about the Policy and review it with my counsel. I knowingly, voluntarily and irrevocably consent to and agree to be bound by and subject to the Policy’s terms and conditions, including that I will return any Erroneously Awarded Compensation that is required to be repaid in accordance with the Policy. I further acknowledge, understand and agree that (i) the compensation that I receive, have received or may become entitled to receive from the Company Group is subject to the Policy, and the Policy may affect such compensation and (ii) I have no right to indemnification, insurance payments or other reimbursement by or from the Company Group for any compensation that is subject to recoupment and/or forfeiture under the Policy. Capitalized terms used but not defined herein have the meanings set forth in the Policy.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19685</wp:posOffset>
            </wp:positionV>
            <wp:extent cx="28460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19685</wp:posOffset>
            </wp:positionV>
            <wp:extent cx="28460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19685</wp:posOffset>
            </wp:positionV>
            <wp:extent cx="28460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lvl w:ilvl="1">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1)"/>
      <w:numFmt w:val="lowerLetter"/>
      <w:start w:val="6"/>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1)"/>
      <w:numFmt w:val="lowerRoman"/>
      <w:start w:val="3"/>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2"/>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lowerLetter"/>
      <w:start w:val="2"/>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1."/>
      <w:numFmt w:val="upperLetter"/>
      <w:start w:val="6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lowerRoman"/>
      <w:start w:val="1"/>
    </w:lvl>
    <w:lvl w:ilvl="1">
      <w:lvlJc w:val="left"/>
      <w:lvlText w:val="%2."/>
      <w:numFmt w:val="decimal"/>
      <w:start w:val="2"/>
    </w:lvl>
  </w:abstractNum>
  <w:abstractNum w:abstractNumId="54">
    <w:nsid w:val="540A471C"/>
    <w:multiLevelType w:val="hybridMultilevel"/>
    <w:lvl w:ilvl="0">
      <w:lvlJc w:val="left"/>
      <w:lvlText w:val="(%1)"/>
      <w:numFmt w:val="lowerRoman"/>
      <w:start w:val="3"/>
    </w:lvl>
    <w:lvl w:ilvl="1">
      <w:lvlJc w:val="left"/>
      <w:lvlText w:val="%2"/>
      <w:numFmt w:val="decimal"/>
      <w:start w:val="1"/>
    </w:lvl>
  </w:abstractNum>
  <w:abstractNum w:abstractNumId="55">
    <w:nsid w:val="7BD3EE7B"/>
    <w:multiLevelType w:val="hybridMultilevel"/>
    <w:lvl w:ilvl="0">
      <w:lvlJc w:val="left"/>
      <w:lvlText w:val="%1."/>
      <w:numFmt w:val="decimal"/>
      <w:start w:val="3"/>
    </w:lvl>
  </w:abstractNum>
  <w:abstractNum w:abstractNumId="56">
    <w:nsid w:val="51D9C564"/>
    <w:multiLevelType w:val="hybridMultilevel"/>
    <w:lvl w:ilvl="0">
      <w:lvlJc w:val="left"/>
      <w:lvlText w:val="%1"/>
      <w:numFmt w:val="decimal"/>
      <w:start w:val="1"/>
    </w:lvl>
    <w:lvl w:ilvl="1">
      <w:lvlJc w:val="left"/>
      <w:lvlText w:val="%2."/>
      <w:numFmt w:val="decimal"/>
      <w:start w:val="4"/>
    </w:lvl>
  </w:abstractNum>
  <w:abstractNum w:abstractNumId="57">
    <w:nsid w:val="613EFDC5"/>
    <w:multiLevelType w:val="hybridMultilevel"/>
    <w:lvl w:ilvl="0">
      <w:lvlJc w:val="left"/>
      <w:lvlText w:val="(%1)"/>
      <w:numFmt w:val="decimal"/>
      <w:start w:val="20"/>
    </w:lvl>
    <w:lvl w:ilvl="1">
      <w:lvlJc w:val="left"/>
      <w:lvlText w:val="%2"/>
      <w:numFmt w:val="decimal"/>
      <w:start w:val="1"/>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4"/>
    </w:lvl>
  </w:abstractNum>
  <w:abstractNum w:abstractNumId="60">
    <w:nsid w:val="42963E5A"/>
    <w:multiLevelType w:val="hybridMultilevel"/>
    <w:lvl w:ilvl="0">
      <w:lvlJc w:val="left"/>
      <w:lvlText w:val="%1."/>
      <w:numFmt w:val="decimal"/>
      <w:start w:val="6"/>
    </w:lvl>
  </w:abstractNum>
  <w:abstractNum w:abstractNumId="61">
    <w:nsid w:val="A0382C5"/>
    <w:multiLevelType w:val="hybridMultilevel"/>
    <w:lvl w:ilvl="0">
      <w:lvlJc w:val="left"/>
      <w:lvlText w:val="%1."/>
      <w:numFmt w:val="decimal"/>
      <w:start w:val="7"/>
    </w:lvl>
  </w:abstractNum>
  <w:abstractNum w:abstractNumId="62">
    <w:nsid w:val="8F2B15E"/>
    <w:multiLevelType w:val="hybridMultilevel"/>
    <w:lvl w:ilvl="0">
      <w:lvlJc w:val="left"/>
      <w:lvlText w:val="%1."/>
      <w:numFmt w:val="decimal"/>
      <w:start w:val="8"/>
    </w:lvl>
  </w:abstractNum>
  <w:abstractNum w:abstractNumId="63">
    <w:nsid w:val="1A32234B"/>
    <w:multiLevelType w:val="hybridMultilevel"/>
    <w:lvl w:ilvl="0">
      <w:lvlJc w:val="left"/>
      <w:lvlText w:val="%1."/>
      <w:numFmt w:val="decimal"/>
      <w:start w:val="9"/>
    </w:lvl>
  </w:abstractNum>
  <w:abstractNum w:abstractNumId="64">
    <w:nsid w:val="3B0FD379"/>
    <w:multiLevelType w:val="hybridMultilevel"/>
    <w:lvl w:ilvl="0">
      <w:lvlJc w:val="left"/>
      <w:lvlText w:val="%1."/>
      <w:numFmt w:val="decimal"/>
      <w:start w:val="11"/>
    </w:lvl>
  </w:abstractNum>
  <w:abstractNum w:abstractNumId="65">
    <w:nsid w:val="68EB2F63"/>
    <w:multiLevelType w:val="hybridMultilevel"/>
    <w:lvl w:ilvl="0">
      <w:lvlJc w:val="left"/>
      <w:lvlText w:val="%1."/>
      <w:numFmt w:val="decimal"/>
      <w:start w:val="12"/>
    </w:lvl>
  </w:abstractNum>
  <w:abstractNum w:abstractNumId="66">
    <w:nsid w:val="4962813B"/>
    <w:multiLevelType w:val="hybridMultilevel"/>
    <w:lvl w:ilvl="0">
      <w:lvlJc w:val="left"/>
      <w:lvlText w:val="%1."/>
      <w:numFmt w:val="decimal"/>
      <w:start w:val="1"/>
    </w:lvl>
  </w:abstractNum>
  <w:abstractNum w:abstractNumId="67">
    <w:nsid w:val="60B6DF70"/>
    <w:multiLevelType w:val="hybridMultilevel"/>
    <w:lvl w:ilvl="0">
      <w:lvlJc w:val="left"/>
      <w:lvlText w:val="%1."/>
      <w:numFmt w:val="decimal"/>
      <w:start w:val="2"/>
    </w:lvl>
  </w:abstractNum>
  <w:abstractNum w:abstractNumId="68">
    <w:nsid w:val="6A5EE64"/>
    <w:multiLevelType w:val="hybridMultilevel"/>
    <w:lvl w:ilvl="0">
      <w:lvlJc w:val="left"/>
      <w:lvlText w:val="(%1)"/>
      <w:numFmt w:val="lowerLetter"/>
      <w:start w:val="1"/>
    </w:lvl>
    <w:lvl w:ilvl="1">
      <w:lvlJc w:val="left"/>
      <w:lvlText w:val="(%2)"/>
      <w:numFmt w:val="lowerRoman"/>
      <w:start w:val="1"/>
    </w:lvl>
  </w:abstractNum>
  <w:abstractNum w:abstractNumId="69">
    <w:nsid w:val="14330624"/>
    <w:multiLevelType w:val="hybridMultilevel"/>
    <w:lvl w:ilvl="0">
      <w:lvlJc w:val="left"/>
      <w:lvlText w:val="(%1)"/>
      <w:numFmt w:val="lowerLetter"/>
      <w:start w:val="2"/>
    </w:lvl>
  </w:abstractNum>
  <w:abstractNum w:abstractNumId="70">
    <w:nsid w:val="7FFFCA11"/>
    <w:multiLevelType w:val="hybridMultilevel"/>
    <w:lvl w:ilvl="0">
      <w:lvlJc w:val="left"/>
      <w:lvlText w:val="%1"/>
      <w:numFmt w:val="decimal"/>
      <w:start w:val="1"/>
    </w:lvl>
    <w:lvl w:ilvl="1">
      <w:lvlJc w:val="left"/>
      <w:lvlText w:val="(%2)"/>
      <w:numFmt w:val="lowerLetter"/>
      <w:start w:val="1"/>
    </w:lvl>
  </w:abstractNum>
  <w:abstractNum w:abstractNumId="71">
    <w:nsid w:val="1A27709E"/>
    <w:multiLevelType w:val="hybridMultilevel"/>
    <w:lvl w:ilvl="0">
      <w:lvlJc w:val="left"/>
      <w:lvlText w:val="%1."/>
      <w:numFmt w:val="decimal"/>
      <w:start w:val="4"/>
    </w:lvl>
    <w:lvl w:ilvl="1">
      <w:lvlJc w:val="left"/>
      <w:lvlText w:val="%2"/>
      <w:numFmt w:val="lowerLetter"/>
      <w:start w:val="1"/>
    </w:lvl>
  </w:abstractNum>
  <w:abstractNum w:abstractNumId="72">
    <w:nsid w:val="71EA1109"/>
    <w:multiLevelType w:val="hybridMultilevel"/>
    <w:lvl w:ilvl="0">
      <w:lvlJc w:val="left"/>
      <w:lvlText w:val="%1."/>
      <w:numFmt w:val="decimal"/>
      <w:start w:val="5"/>
    </w:lvl>
  </w:abstractNum>
  <w:abstractNum w:abstractNumId="73">
    <w:nsid w:val="100F59DC"/>
    <w:multiLevelType w:val="hybridMultilevel"/>
    <w:lvl w:ilvl="0">
      <w:lvlJc w:val="left"/>
      <w:lvlText w:val="%1."/>
      <w:numFmt w:val="decimal"/>
      <w:start w:val="8"/>
    </w:lvl>
  </w:abstractNum>
  <w:abstractNum w:abstractNumId="74">
    <w:nsid w:val="7FB7E0AA"/>
    <w:multiLevelType w:val="hybridMultilevel"/>
    <w:lvl w:ilvl="0">
      <w:lvlJc w:val="left"/>
      <w:lvlText w:val="%1."/>
      <w:numFmt w:val="decimal"/>
      <w:start w:val="16"/>
    </w:lvl>
  </w:abstractNum>
  <w:abstractNum w:abstractNumId="75">
    <w:nsid w:val="6EB5BD4"/>
    <w:multiLevelType w:val="hybridMultilevel"/>
    <w:lvl w:ilvl="0">
      <w:lvlJc w:val="left"/>
      <w:lvlText w:val="%1."/>
      <w:numFmt w:val="upperLetter"/>
      <w:start w:val="1"/>
    </w:lvl>
  </w:abstractNum>
  <w:abstractNum w:abstractNumId="76">
    <w:nsid w:val="6F6DD9AC"/>
    <w:multiLevelType w:val="hybridMultilevel"/>
    <w:lvl w:ilvl="0">
      <w:lvlJc w:val="left"/>
      <w:lvlText w:val="%1."/>
      <w:numFmt w:val="decimal"/>
      <w:start w:val="1"/>
    </w:lvl>
    <w:lvl w:ilvl="1">
      <w:lvlJc w:val="left"/>
      <w:lvlText w:val="(%2)"/>
      <w:numFmt w:val="lowerLetter"/>
      <w:start w:val="1"/>
    </w:lvl>
  </w:abstractNum>
  <w:abstractNum w:abstractNumId="77">
    <w:nsid w:val="94211F2"/>
    <w:multiLevelType w:val="hybridMultilevel"/>
    <w:lvl w:ilvl="0">
      <w:lvlJc w:val="left"/>
      <w:lvlText w:val="%1"/>
      <w:numFmt w:val="decimal"/>
      <w:start w:val="1"/>
    </w:lvl>
    <w:lvl w:ilvl="1">
      <w:lvlJc w:val="left"/>
      <w:lvlText w:val="(%2)"/>
      <w:numFmt w:val="lowerLetter"/>
      <w:start w:val="3"/>
    </w:lvl>
  </w:abstractNum>
  <w:abstractNum w:abstractNumId="78">
    <w:nsid w:val="885E1B"/>
    <w:multiLevelType w:val="hybridMultilevel"/>
    <w:lvl w:ilvl="0">
      <w:lvlJc w:val="left"/>
      <w:lvlText w:val="%1."/>
      <w:numFmt w:val="decimal"/>
      <w:start w:val="5"/>
    </w:lvl>
    <w:lvl w:ilvl="1">
      <w:lvlJc w:val="left"/>
      <w:lvlText w:val="(%2)"/>
      <w:numFmt w:val="lowerLetter"/>
      <w:start w:val="1"/>
    </w:lvl>
  </w:abstractNum>
  <w:abstractNum w:abstractNumId="79">
    <w:nsid w:val="76272110"/>
    <w:multiLevelType w:val="hybridMultilevel"/>
    <w:lvl w:ilvl="0">
      <w:lvlJc w:val="left"/>
      <w:lvlText w:val="%1."/>
      <w:numFmt w:val="decimal"/>
      <w:start w:val="1"/>
    </w:lvl>
    <w:lvl w:ilvl="1">
      <w:lvlJc w:val="left"/>
      <w:lvlText w:val="(%2)"/>
      <w:numFmt w:val="lowerLetter"/>
      <w:start w:val="1"/>
    </w:lvl>
  </w:abstractNum>
  <w:abstractNum w:abstractNumId="80">
    <w:nsid w:val="4C04A8AF"/>
    <w:multiLevelType w:val="hybridMultilevel"/>
    <w:lvl w:ilvl="0">
      <w:lvlJc w:val="left"/>
      <w:lvlText w:val="%1"/>
      <w:numFmt w:val="decimal"/>
      <w:start w:val="1"/>
    </w:lvl>
    <w:lvl w:ilvl="1">
      <w:lvlJc w:val="left"/>
      <w:lvlText w:val="(%2)"/>
      <w:numFmt w:val="lowerLetter"/>
      <w:start w:val="3"/>
    </w:lvl>
  </w:abstractNum>
  <w:abstractNum w:abstractNumId="81">
    <w:nsid w:val="1716703B"/>
    <w:multiLevelType w:val="hybridMultilevel"/>
    <w:lvl w:ilvl="0">
      <w:lvlJc w:val="left"/>
      <w:lvlText w:val="%1."/>
      <w:numFmt w:val="decimal"/>
      <w:start w:val="5"/>
    </w:lvl>
    <w:lvl w:ilvl="1">
      <w:lvlJc w:val="left"/>
      <w:lvlText w:val="(%2)"/>
      <w:numFmt w:val="lowerLetter"/>
      <w:start w:val="1"/>
    </w:lvl>
  </w:abstractNum>
  <w:abstractNum w:abstractNumId="82">
    <w:nsid w:val="14E17E33"/>
    <w:multiLevelType w:val="hybridMultilevel"/>
    <w:lvl w:ilvl="0">
      <w:lvlJc w:val="left"/>
      <w:lvlText w:val="%1."/>
      <w:numFmt w:val="decimal"/>
      <w:start w:val="1"/>
    </w:lvl>
  </w:abstractNum>
  <w:abstractNum w:abstractNumId="83">
    <w:nsid w:val="3222E7CD"/>
    <w:multiLevelType w:val="hybridMultilevel"/>
    <w:lvl w:ilvl="0">
      <w:lvlJc w:val="left"/>
      <w:lvlText w:val="%1."/>
      <w:numFmt w:val="decimal"/>
      <w:start w:val="1"/>
    </w:lvl>
  </w:abstractNum>
  <w:abstractNum w:abstractNumId="84">
    <w:nsid w:val="74DE0EE3"/>
    <w:multiLevelType w:val="hybridMultilevel"/>
    <w:lvl w:ilvl="0">
      <w:lvlJc w:val="left"/>
      <w:lvlText w:val="%1."/>
      <w:numFmt w:val="decimal"/>
      <w:start w:val="1"/>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lowerLetter"/>
      <w:start w:val="7"/>
    </w:lvl>
    <w:lvl w:ilvl="1">
      <w:lvlJc w:val="left"/>
      <w:lvlText w:val="(%2)"/>
      <w:numFmt w:val="lowerRoman"/>
      <w:start w:val="2"/>
    </w:lvl>
  </w:abstractNum>
  <w:abstractNum w:abstractNumId="87">
    <w:nsid w:val="46B7D447"/>
    <w:multiLevelType w:val="hybridMultilevel"/>
    <w:lvl w:ilvl="0">
      <w:lvlJc w:val="left"/>
      <w:lvlText w:val="%1"/>
      <w:numFmt w:val="decimal"/>
      <w:start w:val="1"/>
    </w:lvl>
    <w:lvl w:ilvl="1">
      <w:lvlJc w:val="left"/>
      <w:lvlText w:val="%2)"/>
      <w:numFmt w:val="lowerLetter"/>
      <w:start w:val="14"/>
    </w:lvl>
  </w:abstractNum>
  <w:abstractNum w:abstractNumId="88">
    <w:nsid w:val="4A2AC315"/>
    <w:multiLevelType w:val="hybridMultilevel"/>
    <w:lvl w:ilvl="0">
      <w:lvlJc w:val="left"/>
      <w:lvlText w:val="%1."/>
      <w:numFmt w:val="decimal"/>
      <w:start w:val="2"/>
    </w:lvl>
    <w:lvl w:ilvl="1">
      <w:lvlJc w:val="left"/>
      <w:lvlText w:val="%2"/>
      <w:numFmt w:val="lowerLetter"/>
      <w:start w:val="1"/>
    </w:lvl>
  </w:abstractNum>
  <w:abstractNum w:abstractNumId="89">
    <w:nsid w:val="39EE015C"/>
    <w:multiLevelType w:val="hybridMultilevel"/>
    <w:lvl w:ilvl="0">
      <w:lvlJc w:val="left"/>
      <w:lvlText w:val="(%1)"/>
      <w:numFmt w:val="lowerRoman"/>
      <w:start w:val="2"/>
    </w:lvl>
    <w:lvl w:ilvl="1">
      <w:lvlJc w:val="left"/>
      <w:lvlText w:val="%2."/>
      <w:numFmt w:val="decimal"/>
      <w:start w:val="3"/>
    </w:lvl>
  </w:abstractNum>
  <w:abstractNum w:abstractNumId="90">
    <w:nsid w:val="57FC4FBB"/>
    <w:multiLevelType w:val="hybridMultilevel"/>
    <w:lvl w:ilvl="0">
      <w:lvlJc w:val="left"/>
      <w:lvlText w:val="%1."/>
      <w:numFmt w:val="decimal"/>
      <w:start w:val="4"/>
    </w:lvl>
  </w:abstractNum>
  <w:abstractNum w:abstractNumId="91">
    <w:nsid w:val="CC1016F"/>
    <w:multiLevelType w:val="hybridMultilevel"/>
    <w:lvl w:ilvl="0">
      <w:lvlJc w:val="left"/>
      <w:lvlText w:val="%1."/>
      <w:numFmt w:val="decimal"/>
      <w:start w:val="5"/>
    </w:lvl>
  </w:abstractNum>
  <w:abstractNum w:abstractNumId="92">
    <w:nsid w:val="43F18422"/>
    <w:multiLevelType w:val="hybridMultilevel"/>
    <w:lvl w:ilvl="0">
      <w:lvlJc w:val="left"/>
      <w:lvlText w:val="%1."/>
      <w:numFmt w:val="decimal"/>
      <w:start w:val="6"/>
    </w:lvl>
  </w:abstractNum>
  <w:abstractNum w:abstractNumId="93">
    <w:nsid w:val="60EF011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6" Type="http://schemas.openxmlformats.org/officeDocument/2006/relationships/image" Target="media/image128.png"/><Relationship Id="rId138" Type="http://schemas.openxmlformats.org/officeDocument/2006/relationships/image" Target="media/image129.png"/><Relationship Id="rId142" Type="http://schemas.openxmlformats.org/officeDocument/2006/relationships/image" Target="media/image130.png"/><Relationship Id="rId144" Type="http://schemas.openxmlformats.org/officeDocument/2006/relationships/image" Target="media/image131.png"/><Relationship Id="rId148" Type="http://schemas.openxmlformats.org/officeDocument/2006/relationships/image" Target="media/image132.png"/><Relationship Id="rId150" Type="http://schemas.openxmlformats.org/officeDocument/2006/relationships/image" Target="media/image133.png"/><Relationship Id="rId153" Type="http://schemas.openxmlformats.org/officeDocument/2006/relationships/image" Target="media/image134.png"/><Relationship Id="rId156" Type="http://schemas.openxmlformats.org/officeDocument/2006/relationships/image" Target="media/image135.png"/><Relationship Id="rId158"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135" Type="http://schemas.openxmlformats.org/officeDocument/2006/relationships/hyperlink" Target="https://www.sec.gov/Archives/edgar/data/1820875/000110465922102856/tm2226567d1_ex2-1.htm" TargetMode="External"/><Relationship Id="rId137" Type="http://schemas.openxmlformats.org/officeDocument/2006/relationships/hyperlink" Target="https://www.sec.gov/Archives/edgar/data/1820875/000110465922102856/tm2226567d1_ex2-2.htm" TargetMode="External"/><Relationship Id="rId139" Type="http://schemas.openxmlformats.org/officeDocument/2006/relationships/hyperlink" Target="https://www.sec.gov/Archives/edgar/data/1820875/000110465922102856/tm2226567d1_ex2-3.htm" TargetMode="External"/><Relationship Id="rId140" Type="http://schemas.openxmlformats.org/officeDocument/2006/relationships/hyperlink" Target="https://www.sec.gov/Archives/edgar/data/0001820875/000110465923034553/tm239336d1_ex3-1.htm" TargetMode="External"/><Relationship Id="rId141" Type="http://schemas.openxmlformats.org/officeDocument/2006/relationships/hyperlink" Target="https://www.sec.gov/Archives/edgar/data/0001820875/000110465923034553/tm239336d1_ex3-2.htm" TargetMode="External"/><Relationship Id="rId143" Type="http://schemas.openxmlformats.org/officeDocument/2006/relationships/hyperlink" Target="https://www.sec.gov/Archives/edgar/data/1820875/000110465920138071/tm2038766d1ex4-1.htm" TargetMode="External"/><Relationship Id="rId145" Type="http://schemas.openxmlformats.org/officeDocument/2006/relationships/hyperlink" Target="https://www.sec.gov/Archives/edgar/data/0001820875/000110465923034553/tm239336d1_ex4-2.htm" TargetMode="External"/><Relationship Id="rId146" Type="http://schemas.openxmlformats.org/officeDocument/2006/relationships/hyperlink" Target="https://www.sec.gov/Archives/edgar/data/0001820875/000110465923034553/tm239336d1_ex4-3.htm" TargetMode="External"/><Relationship Id="rId147" Type="http://schemas.openxmlformats.org/officeDocument/2006/relationships/hyperlink" Target="http://www.sec.gov/Archives/edgar/data/1820875/000110465920138071/tm2038766d1ex4-1.htm" TargetMode="External"/><Relationship Id="rId149" Type="http://schemas.openxmlformats.org/officeDocument/2006/relationships/hyperlink" Target="https://www.sec.gov/Archives/edgar/data/0001820875/000110465923034553/tm239336d1_ex10-9.htm" TargetMode="External"/><Relationship Id="rId151" Type="http://schemas.openxmlformats.org/officeDocument/2006/relationships/hyperlink" Target="https://www.sec.gov/Archives/edgar/data/0001820875/000110465923034553/tm239336d1_ex10-10.htm" TargetMode="External"/><Relationship Id="rId152" Type="http://schemas.openxmlformats.org/officeDocument/2006/relationships/hyperlink" Target="https://www.sec.gov/Archives/edgar/data/0001820875/000110465923034553/tm239336d1_ex10-11.htm" TargetMode="External"/><Relationship Id="rId154" Type="http://schemas.openxmlformats.org/officeDocument/2006/relationships/hyperlink" Target="https://www.sec.gov/Archives/edgar/data/0001820875/000110465923034553/tm239336d1_ex10-12.htm" TargetMode="External"/><Relationship Id="rId155" Type="http://schemas.openxmlformats.org/officeDocument/2006/relationships/hyperlink" Target="https://www.sec.gov/Archives/edgar/data/1820875/000110465923040315/tm2311221d1_ex10-1.htm" TargetMode="External"/><Relationship Id="rId157" Type="http://schemas.openxmlformats.org/officeDocument/2006/relationships/hyperlink" Target="https://www.sec.gov/Archives/edgar/data/1820875/000110465923040315/tm2311221d1_ex10-2.htm" TargetMode="External"/><Relationship Id="rId159" Type="http://schemas.openxmlformats.org/officeDocument/2006/relationships/hyperlink" Target="https://www.sec.gov/Archives/edgar/data/0001820875/000110465923034553/tm239336d1_ex10-14.htm" TargetMode="External"/><Relationship Id="rId160" Type="http://schemas.openxmlformats.org/officeDocument/2006/relationships/hyperlink" Target="https://www.sec.gov/Archives/edgar/data/0001820875/000110465923034553/tm239336d1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2024-05-24T06:05:48Z</dcterms:created>
  <dcterms:modified xsi:type="dcterms:W3CDTF">2024-05-24T06:05:48Z</dcterms:modified>
</cp:coreProperties>
</file>