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xappinc_10q.htm"/>
      <w:bookmarkStart w:id="1" w:name="kscxappinc_10q"/>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7_edei--DocumentType_c20240101__20"/>
      <w:bookmarkEnd w:id="2"/>
      <w:r>
        <w:rPr>
          <w:rFonts w:ascii="Times New Roman;Times;Serif" w:hAnsi="Times New Roman;Times;Serif"/>
          <w:b/>
          <w:i w:val="false"/>
          <w:caps w:val="false"/>
          <w:smallCaps w:val="false"/>
          <w:sz w:val="28"/>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bookmarkStart w:id="3" w:name="xdx_901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 ended </w:t>
      </w:r>
      <w:bookmarkStart w:id="4" w:name="xdx_90D_edei--DocumentPeriodEndDate_c202"/>
      <w:bookmarkEnd w:id="4"/>
      <w:r>
        <w:rPr>
          <w:rFonts w:ascii="Times New Roman;Times;Serif" w:hAnsi="Times New Roman;Times;Serif"/>
          <w:b/>
          <w:i w:val="false"/>
          <w:caps w:val="false"/>
          <w:smallCaps w:val="false"/>
          <w:sz w:val="20"/>
        </w:rPr>
        <w:t>March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 w:name="xdx_903_edei--DocumentTransitionReport_c"/>
      <w:bookmarkEnd w:id="5"/>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1_edei--EntityFileNumber_c20240101"/>
      <w:bookmarkEnd w:id="6"/>
      <w:r>
        <w:rPr>
          <w:rFonts w:ascii="Times New Roman;Times;Serif" w:hAnsi="Times New Roman;Times;Serif"/>
          <w:b/>
          <w:i w:val="false"/>
          <w:caps w:val="false"/>
          <w:smallCaps w:val="false"/>
          <w:sz w:val="20"/>
        </w:rPr>
        <w:t>001-39642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7" w:name="xdx_908_edei--EntityRegistrantName_c2024"/>
      <w:bookmarkEnd w:id="7"/>
      <w:r>
        <w:rPr>
          <w:rFonts w:ascii="Times New Roman;Times;Serif" w:hAnsi="Times New Roman;Times;Serif"/>
          <w:b/>
          <w:i w:val="false"/>
          <w:caps w:val="false"/>
          <w:smallCaps w:val="false"/>
          <w:sz w:val="28"/>
        </w:rPr>
        <w:t>CXApp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b/>
                <w:sz w:val="20"/>
              </w:rPr>
            </w:pPr>
            <w:bookmarkStart w:id="8" w:name="xdx_909_edei--EntityIncorporationStateCo"/>
            <w:bookmarkEnd w:id="8"/>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b/>
                <w:sz w:val="20"/>
              </w:rPr>
            </w:pPr>
            <w:bookmarkStart w:id="9" w:name="xdx_904_edei--EntityTaxIdentificationNum"/>
            <w:bookmarkEnd w:id="9"/>
            <w:r>
              <w:rPr>
                <w:b/>
                <w:sz w:val="20"/>
              </w:rPr>
              <w:t>85-2104918</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9_edei--EntityAddressAddressLine1_"/>
      <w:bookmarkEnd w:id="10"/>
      <w:r>
        <w:rPr>
          <w:rFonts w:ascii="Times New Roman;Times;Serif" w:hAnsi="Times New Roman;Times;Serif"/>
          <w:b/>
          <w:i w:val="false"/>
          <w:caps w:val="false"/>
          <w:smallCaps w:val="false"/>
          <w:sz w:val="20"/>
        </w:rPr>
        <w:t xml:space="preserve">Four Palo Alto Square, </w:t>
      </w:r>
      <w:bookmarkStart w:id="11" w:name="xdx_901_edei--EntityAddressAddressLine2_"/>
      <w:bookmarkEnd w:id="11"/>
      <w:r>
        <w:rPr>
          <w:rFonts w:ascii="Times New Roman;Times;Serif" w:hAnsi="Times New Roman;Times;Serif"/>
          <w:b/>
          <w:i w:val="false"/>
          <w:caps w:val="false"/>
          <w:smallCaps w:val="false"/>
          <w:sz w:val="20"/>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D_edei--EntityAddressAddressLine3_"/>
      <w:bookmarkEnd w:id="12"/>
      <w:r>
        <w:rPr>
          <w:rFonts w:ascii="Times New Roman;Times;Serif" w:hAnsi="Times New Roman;Times;Serif"/>
          <w:b/>
          <w:i w:val="false"/>
          <w:caps w:val="false"/>
          <w:smallCaps w:val="false"/>
          <w:sz w:val="20"/>
        </w:rPr>
        <w:t>3000 El Camino Real</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8_edei--EntityAddressCityOrTown_c2"/>
      <w:bookmarkEnd w:id="13"/>
      <w:r>
        <w:rPr>
          <w:rFonts w:ascii="Times New Roman;Times;Serif" w:hAnsi="Times New Roman;Times;Serif"/>
          <w:b/>
          <w:i w:val="false"/>
          <w:caps w:val="false"/>
          <w:smallCaps w:val="false"/>
          <w:sz w:val="20"/>
        </w:rPr>
        <w:t xml:space="preserve">Palo Alto, </w:t>
      </w:r>
      <w:bookmarkStart w:id="14" w:name="xdx_907_edei--EntityAddressStateOrProvin"/>
      <w:bookmarkEnd w:id="14"/>
      <w:r>
        <w:rPr>
          <w:rFonts w:ascii="Times New Roman;Times;Serif" w:hAnsi="Times New Roman;Times;Serif"/>
          <w:b/>
          <w:i w:val="false"/>
          <w:caps w:val="false"/>
          <w:smallCaps w:val="false"/>
          <w:sz w:val="20"/>
        </w:rPr>
        <w:t xml:space="preserve">CA </w:t>
      </w:r>
      <w:bookmarkStart w:id="15" w:name="xdx_907_edei--EntityAddressPostalZipCode"/>
      <w:bookmarkEnd w:id="15"/>
      <w:r>
        <w:rPr>
          <w:rFonts w:ascii="Times New Roman;Times;Serif" w:hAnsi="Times New Roman;Times;Serif"/>
          <w:b/>
          <w:i w:val="false"/>
          <w:caps w:val="false"/>
          <w:smallCaps w:val="false"/>
          <w:sz w:val="20"/>
        </w:rPr>
        <w:t>94306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0_edei--CityAreaCode_c20240101__20"/>
      <w:bookmarkEnd w:id="16"/>
      <w:r>
        <w:rPr>
          <w:rFonts w:ascii="Times New Roman;Times;Serif" w:hAnsi="Times New Roman;Times;Serif"/>
          <w:b/>
          <w:i w:val="false"/>
          <w:caps w:val="false"/>
          <w:smallCaps w:val="false"/>
          <w:sz w:val="20"/>
        </w:rPr>
        <w:t xml:space="preserve">(650) </w:t>
      </w:r>
      <w:bookmarkStart w:id="17" w:name="xdx_904_edei--LocalPhoneNumber_c20240101"/>
      <w:bookmarkEnd w:id="17"/>
      <w:r>
        <w:rPr>
          <w:rFonts w:ascii="Times New Roman;Times;Serif" w:hAnsi="Times New Roman;Times;Serif"/>
          <w:b/>
          <w:i w:val="false"/>
          <w:caps w:val="false"/>
          <w:smallCaps w:val="false"/>
          <w:sz w:val="20"/>
        </w:rPr>
        <w:t>785-7171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450" w:type="dxa"/>
        <w:jc w:val="left"/>
        <w:tblInd w:w="0" w:type="dxa"/>
        <w:tblLayout w:type="fixed"/>
        <w:tblCellMar>
          <w:top w:w="0" w:type="dxa"/>
          <w:left w:w="0" w:type="dxa"/>
          <w:bottom w:w="28" w:type="dxa"/>
          <w:right w:w="0" w:type="dxa"/>
        </w:tblCellMar>
      </w:tblPr>
      <w:tblGrid>
        <w:gridCol w:w="4205"/>
        <w:gridCol w:w="60"/>
        <w:gridCol w:w="1415"/>
        <w:gridCol w:w="60"/>
        <w:gridCol w:w="3710"/>
      </w:tblGrid>
      <w:tr>
        <w:trPr/>
        <w:tc>
          <w:tcPr>
            <w:tcW w:w="42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205" w:type="dxa"/>
            <w:tcBorders/>
            <w:shd w:fill="CCEEFF" w:val="clear"/>
            <w:tcMar>
              <w:bottom w:w="0" w:type="dxa"/>
            </w:tcMar>
            <w:vAlign w:val="center"/>
          </w:tcPr>
          <w:p>
            <w:pPr>
              <w:pStyle w:val="TableContents"/>
              <w:bidi w:val="0"/>
              <w:spacing w:before="0" w:after="283"/>
              <w:jc w:val="center"/>
              <w:rPr>
                <w:sz w:val="20"/>
              </w:rPr>
            </w:pPr>
            <w:bookmarkStart w:id="18" w:name="xdx_90C_edei--Security12bTitle_c20240101"/>
            <w:bookmarkEnd w:id="18"/>
            <w:r>
              <w:rPr>
                <w:sz w:val="20"/>
              </w:rPr>
              <w:t>Class A 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sz w:val="20"/>
              </w:rPr>
            </w:pPr>
            <w:bookmarkStart w:id="19" w:name="xdx_90A_edei--TradingSymbol_c20240101__2"/>
            <w:bookmarkEnd w:id="19"/>
            <w:r>
              <w:rPr>
                <w:sz w:val="20"/>
              </w:rPr>
              <w:t>CXAI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9_edei--SecurityExchangeName_c2024"/>
            <w:bookmarkEnd w:id="20"/>
            <w:r>
              <w:rPr>
                <w:sz w:val="20"/>
              </w:rPr>
              <w:t>Nasdaq Stock Market LLC</w:t>
            </w:r>
          </w:p>
        </w:tc>
      </w:tr>
      <w:tr>
        <w:trPr/>
        <w:tc>
          <w:tcPr>
            <w:tcW w:w="4205" w:type="dxa"/>
            <w:tcBorders/>
            <w:shd w:fill="FFFFFF" w:val="clear"/>
            <w:tcMar>
              <w:bottom w:w="0" w:type="dxa"/>
            </w:tcMar>
            <w:vAlign w:val="center"/>
          </w:tcPr>
          <w:p>
            <w:pPr>
              <w:pStyle w:val="TableContents"/>
              <w:bidi w:val="0"/>
              <w:spacing w:before="0" w:after="283"/>
              <w:jc w:val="center"/>
              <w:rPr>
                <w:sz w:val="20"/>
              </w:rPr>
            </w:pPr>
            <w:bookmarkStart w:id="21" w:name="xdx_909_edei--Security12bTitle_c20240101"/>
            <w:bookmarkEnd w:id="21"/>
            <w:r>
              <w:rPr>
                <w:sz w:val="20"/>
              </w:rPr>
              <w:t>Warrants to purchase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5" w:type="dxa"/>
            <w:tcBorders/>
            <w:shd w:fill="FFFFFF" w:val="clear"/>
            <w:tcMar>
              <w:bottom w:w="0" w:type="dxa"/>
            </w:tcMar>
            <w:vAlign w:val="center"/>
          </w:tcPr>
          <w:p>
            <w:pPr>
              <w:pStyle w:val="TableContents"/>
              <w:bidi w:val="0"/>
              <w:spacing w:before="0" w:after="283"/>
              <w:jc w:val="center"/>
              <w:rPr>
                <w:sz w:val="20"/>
              </w:rPr>
            </w:pPr>
            <w:bookmarkStart w:id="22" w:name="xdx_907_edei--TradingSymbol_c20240101__2"/>
            <w:bookmarkEnd w:id="22"/>
            <w:r>
              <w:rPr>
                <w:sz w:val="20"/>
              </w:rPr>
              <w:t>CXAIW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3_edei--SecurityExchangeName_c2024"/>
            <w:bookmarkEnd w:id="23"/>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7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25" w:name="xdx_909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880"/>
        <w:gridCol w:w="230"/>
        <w:gridCol w:w="2270"/>
        <w:gridCol w:w="245"/>
      </w:tblGrid>
      <w:tr>
        <w:trPr/>
        <w:tc>
          <w:tcPr>
            <w:tcW w:w="1880" w:type="dxa"/>
            <w:tcBorders/>
            <w:vAlign w:val="center"/>
          </w:tcPr>
          <w:p>
            <w:pPr>
              <w:pStyle w:val="TableContents"/>
              <w:bidi w:val="0"/>
              <w:spacing w:before="0" w:after="283"/>
              <w:jc w:val="left"/>
              <w:rPr>
                <w:sz w:val="20"/>
              </w:rPr>
            </w:pPr>
            <w:r>
              <w:rPr>
                <w:sz w:val="20"/>
              </w:rPr>
              <w:t xml:space="preserve">Large accelerated filer </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sz w:val="20"/>
              </w:rPr>
            </w:pPr>
            <w:bookmarkStart w:id="26" w:name="xdx_906_edei--EntityFilerCategory_c20240"/>
            <w:bookmarkEnd w:id="26"/>
            <w:r>
              <w:rPr>
                <w:sz w:val="20"/>
              </w:rPr>
              <w:t>Non-accelerated filer</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sz w:val="20"/>
              </w:rPr>
            </w:pPr>
            <w:r>
              <w:rPr>
                <w:sz w:val="20"/>
              </w:rPr>
              <w:t xml:space="preserve">Smaller reporting company </w:t>
            </w:r>
          </w:p>
        </w:tc>
        <w:tc>
          <w:tcPr>
            <w:tcW w:w="245" w:type="dxa"/>
            <w:tcBorders/>
            <w:vAlign w:val="center"/>
          </w:tcPr>
          <w:p>
            <w:pPr>
              <w:pStyle w:val="TableContents"/>
              <w:bidi w:val="0"/>
              <w:spacing w:before="0" w:after="283"/>
              <w:jc w:val="left"/>
              <w:rPr/>
            </w:pPr>
            <w:bookmarkStart w:id="27" w:name="xdx_901_edei--EntitySmallBusiness_c20240"/>
            <w:bookmarkEnd w:id="27"/>
            <w:r>
              <w:rPr/>
              <w:t>☒</w:t>
            </w:r>
          </w:p>
        </w:tc>
      </w:tr>
      <w:tr>
        <w:trPr/>
        <w:tc>
          <w:tcPr>
            <w:tcW w:w="18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sz w:val="20"/>
              </w:rPr>
            </w:pPr>
            <w:r>
              <w:rPr>
                <w:sz w:val="20"/>
              </w:rPr>
              <w:t xml:space="preserve">Emerging growth company </w:t>
            </w:r>
          </w:p>
        </w:tc>
        <w:tc>
          <w:tcPr>
            <w:tcW w:w="245" w:type="dxa"/>
            <w:tcBorders/>
            <w:vAlign w:val="center"/>
          </w:tcPr>
          <w:p>
            <w:pPr>
              <w:pStyle w:val="TableContents"/>
              <w:bidi w:val="0"/>
              <w:spacing w:before="0" w:after="283"/>
              <w:jc w:val="left"/>
              <w:rPr/>
            </w:pPr>
            <w:bookmarkStart w:id="28" w:name="xdx_90C_edei--EntityEmergingGrowthCompan"/>
            <w:bookmarkEnd w:id="28"/>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7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w:t>
      </w:r>
      <w:bookmarkStart w:id="30" w:name="xdx_909_edei--EntityShellCompany_c202401"/>
      <w:bookmarkEnd w:id="30"/>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29, 2024, there were </w:t>
      </w:r>
      <w:bookmarkStart w:id="31" w:name="xdx_902_edei--EntityCommonStockSharesOut"/>
      <w:bookmarkEnd w:id="31"/>
      <w:r>
        <w:rPr>
          <w:rFonts w:ascii="Times New Roman;Times;Serif" w:hAnsi="Times New Roman;Times;Serif"/>
          <w:b w:val="false"/>
          <w:i w:val="false"/>
          <w:caps w:val="false"/>
          <w:smallCaps w:val="false"/>
          <w:sz w:val="20"/>
        </w:rPr>
        <w:t>15,254,389 shares of Class A common stock, $0.0001 par value,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10"/>
        <w:gridCol w:w="32"/>
        <w:gridCol w:w="9052"/>
        <w:gridCol w:w="60"/>
        <w:gridCol w:w="276"/>
      </w:tblGrid>
      <w:tr>
        <w:trPr/>
        <w:tc>
          <w:tcPr>
            <w:tcW w:w="9869" w:type="dxa"/>
            <w:gridSpan w:val="4"/>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Part I. FINANCIAL INFORMATION</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794"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Item 1.</w:t>
              </w:r>
            </w:hyperlink>
          </w:p>
        </w:tc>
        <w:tc>
          <w:tcPr>
            <w:tcW w:w="32" w:type="dxa"/>
            <w:tcBorders/>
            <w:shd w:fill="CCEEFF" w:val="clear"/>
            <w:vAlign w:val="center"/>
          </w:tcPr>
          <w:p>
            <w:pPr>
              <w:pStyle w:val="TableContents"/>
              <w:bidi w:val="0"/>
              <w:spacing w:before="0" w:after="283"/>
              <w:ind w:left="0" w:right="0" w:hanging="180"/>
              <w:jc w:val="left"/>
              <w:rPr/>
            </w:pPr>
            <w:r>
              <w:rPr/>
              <w:t> </w:t>
            </w:r>
          </w:p>
        </w:tc>
        <w:tc>
          <w:tcPr>
            <w:tcW w:w="9052"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sz w:val="20"/>
                </w:rPr>
                <w:t>Interim Financial Statements</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32" w:type="dxa"/>
            <w:tcBorders/>
            <w:shd w:fill="FFFFFF" w:val="clear"/>
            <w:vAlign w:val="center"/>
          </w:tcPr>
          <w:p>
            <w:pPr>
              <w:pStyle w:val="TableContents"/>
              <w:bidi w:val="0"/>
              <w:spacing w:before="0" w:after="283"/>
              <w:ind w:left="0" w:right="0" w:hanging="180"/>
              <w:jc w:val="left"/>
              <w:rPr/>
            </w:pPr>
            <w:r>
              <w:rPr/>
              <w:t> </w:t>
            </w:r>
          </w:p>
        </w:tc>
        <w:tc>
          <w:tcPr>
            <w:tcW w:w="9052"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sz w:val="20"/>
                </w:rPr>
                <w:t>Condensed Consolidated Balance Sheets as of March 31, 2024 (unaudited) and December 31, 2023</w:t>
              </w:r>
            </w:hyperlink>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32" w:type="dxa"/>
            <w:tcBorders/>
            <w:shd w:fill="CCEEFF" w:val="clear"/>
            <w:vAlign w:val="center"/>
          </w:tcPr>
          <w:p>
            <w:pPr>
              <w:pStyle w:val="TableContents"/>
              <w:bidi w:val="0"/>
              <w:spacing w:before="0" w:after="283"/>
              <w:ind w:left="0" w:right="0" w:hanging="180"/>
              <w:jc w:val="left"/>
              <w:rPr/>
            </w:pPr>
            <w:r>
              <w:rPr/>
              <w:t> </w:t>
            </w:r>
          </w:p>
        </w:tc>
        <w:tc>
          <w:tcPr>
            <w:tcW w:w="9052"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sz w:val="20"/>
                </w:rPr>
                <w:t>Condensed Consolidated Statements of Operations and Comprehensive (Loss) for the three months ended March 31, 2024 (unaudited) (Successor) and Condensed Consolidated Statements of Operations and Comprehensive Income (Loss) for the period from March 15, 2023 to March 31, 2023 (unaudited) (Successor), and the period from January 1, 2023 to March 14, 2023 (Predecessor)</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32" w:type="dxa"/>
            <w:tcBorders/>
            <w:shd w:fill="FFFFFF" w:val="clear"/>
            <w:vAlign w:val="center"/>
          </w:tcPr>
          <w:p>
            <w:pPr>
              <w:pStyle w:val="TableContents"/>
              <w:bidi w:val="0"/>
              <w:spacing w:before="0" w:after="283"/>
              <w:ind w:left="0" w:right="0" w:hanging="180"/>
              <w:jc w:val="left"/>
              <w:rPr/>
            </w:pPr>
            <w:r>
              <w:rPr/>
              <w:t> </w:t>
            </w:r>
          </w:p>
        </w:tc>
        <w:tc>
          <w:tcPr>
            <w:tcW w:w="9052" w:type="dxa"/>
            <w:tcBorders/>
            <w:shd w:fill="FFFFFF" w:val="clear"/>
            <w:vAlign w:val="center"/>
          </w:tcPr>
          <w:p>
            <w:pPr>
              <w:pStyle w:val="TableContents"/>
              <w:bidi w:val="0"/>
              <w:spacing w:before="0" w:after="283"/>
              <w:jc w:val="both"/>
              <w:rPr/>
            </w:pPr>
            <w:hyperlink w:anchor="a_005">
              <w:r>
                <w:rPr>
                  <w:rStyle w:val="InternetLink"/>
                  <w:rFonts w:ascii="Times New Roman;Times;Serif" w:hAnsi="Times New Roman;Times;Serif"/>
                  <w:sz w:val="20"/>
                </w:rPr>
                <w:t>Condensed Consolidated Statements of Stockholders’ Equity for the three months ended March 31, 2024 (unaudited) (Successor) and Condensed Consolidated Statements of Stockholders’ Equity for the period from March 15, 2023 to March 31, 2023 (unaudited) (Successor), and the period from January 1, 2023 to March 14, 2023 (Predecessor)</w:t>
              </w:r>
            </w:hyperlink>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32" w:type="dxa"/>
            <w:tcBorders/>
            <w:shd w:fill="CCEEFF" w:val="clear"/>
            <w:vAlign w:val="center"/>
          </w:tcPr>
          <w:p>
            <w:pPr>
              <w:pStyle w:val="TableContents"/>
              <w:bidi w:val="0"/>
              <w:spacing w:before="0" w:after="283"/>
              <w:ind w:left="0" w:right="0" w:hanging="180"/>
              <w:jc w:val="left"/>
              <w:rPr/>
            </w:pPr>
            <w:r>
              <w:rPr/>
              <w:t> </w:t>
            </w:r>
          </w:p>
        </w:tc>
        <w:tc>
          <w:tcPr>
            <w:tcW w:w="9052"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sz w:val="20"/>
                </w:rPr>
                <w:t>Condensed Consolidated Statements of Cash Flows for the three months ended March 31, 2024 (unaudited) (Successor) and Condensed Consolidated Statements of Cash Flows for the period from March 15, 2023 to March 31, 2023 (unaudited) (Successor), and the period from January 1, 2023 to March 14, 2023 (Predecessor)</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32" w:type="dxa"/>
            <w:tcBorders/>
            <w:shd w:fill="FFFFFF" w:val="clear"/>
            <w:vAlign w:val="center"/>
          </w:tcPr>
          <w:p>
            <w:pPr>
              <w:pStyle w:val="TableContents"/>
              <w:bidi w:val="0"/>
              <w:spacing w:before="0" w:after="283"/>
              <w:ind w:left="0" w:right="0" w:hanging="180"/>
              <w:jc w:val="left"/>
              <w:rPr/>
            </w:pPr>
            <w:r>
              <w:rPr/>
              <w:t> </w:t>
            </w:r>
          </w:p>
        </w:tc>
        <w:tc>
          <w:tcPr>
            <w:tcW w:w="9052" w:type="dxa"/>
            <w:tcBorders/>
            <w:shd w:fill="FFFFFF" w:val="clear"/>
            <w:vAlign w:val="center"/>
          </w:tcPr>
          <w:p>
            <w:pPr>
              <w:pStyle w:val="TableContents"/>
              <w:bidi w:val="0"/>
              <w:spacing w:before="0" w:after="283"/>
              <w:jc w:val="both"/>
              <w:rPr/>
            </w:pPr>
            <w:hyperlink w:anchor="a_007">
              <w:r>
                <w:rPr>
                  <w:rStyle w:val="InternetLink"/>
                  <w:rFonts w:ascii="Times New Roman;Times;Serif" w:hAnsi="Times New Roman;Times;Serif"/>
                  <w:sz w:val="20"/>
                </w:rPr>
                <w:t>Notes to Unaudited Condensed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Item 2.</w:t>
              </w:r>
            </w:hyperlink>
          </w:p>
        </w:tc>
        <w:tc>
          <w:tcPr>
            <w:tcW w:w="32" w:type="dxa"/>
            <w:tcBorders/>
            <w:shd w:fill="CCEEFF" w:val="clear"/>
            <w:vAlign w:val="center"/>
          </w:tcPr>
          <w:p>
            <w:pPr>
              <w:pStyle w:val="TableContents"/>
              <w:bidi w:val="0"/>
              <w:spacing w:before="0" w:after="283"/>
              <w:ind w:left="0" w:right="0" w:hanging="180"/>
              <w:jc w:val="left"/>
              <w:rPr/>
            </w:pPr>
            <w:r>
              <w:rPr/>
              <w:t> </w:t>
            </w:r>
          </w:p>
        </w:tc>
        <w:tc>
          <w:tcPr>
            <w:tcW w:w="9052"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Item 3.</w:t>
              </w:r>
            </w:hyperlink>
          </w:p>
        </w:tc>
        <w:tc>
          <w:tcPr>
            <w:tcW w:w="32" w:type="dxa"/>
            <w:tcBorders/>
            <w:shd w:fill="FFFFFF" w:val="clear"/>
            <w:vAlign w:val="center"/>
          </w:tcPr>
          <w:p>
            <w:pPr>
              <w:pStyle w:val="TableContents"/>
              <w:bidi w:val="0"/>
              <w:spacing w:before="0" w:after="283"/>
              <w:ind w:left="0" w:right="0" w:hanging="180"/>
              <w:jc w:val="left"/>
              <w:rPr/>
            </w:pPr>
            <w:r>
              <w:rPr/>
              <w:t> </w:t>
            </w:r>
          </w:p>
        </w:tc>
        <w:tc>
          <w:tcPr>
            <w:tcW w:w="9052" w:type="dxa"/>
            <w:tcBorders/>
            <w:shd w:fill="FFFFFF" w:val="clear"/>
            <w:vAlign w:val="center"/>
          </w:tcPr>
          <w:p>
            <w:pPr>
              <w:pStyle w:val="TableContents"/>
              <w:bidi w:val="0"/>
              <w:spacing w:before="0" w:after="283"/>
              <w:jc w:val="both"/>
              <w:rPr/>
            </w:pPr>
            <w:hyperlink w:anchor="a_009">
              <w:r>
                <w:rPr>
                  <w:rStyle w:val="InternetLink"/>
                  <w:rFonts w:ascii="Times New Roman;Times;Serif" w:hAnsi="Times New Roman;Times;Serif"/>
                  <w:sz w:val="20"/>
                </w:rPr>
                <w:t>Quantitative and Qualitative Disclosures about Market Risk</w:t>
              </w:r>
            </w:hyperlink>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Item 4.</w:t>
              </w:r>
            </w:hyperlink>
          </w:p>
        </w:tc>
        <w:tc>
          <w:tcPr>
            <w:tcW w:w="32" w:type="dxa"/>
            <w:tcBorders/>
            <w:shd w:fill="CCEEFF" w:val="clear"/>
            <w:vAlign w:val="center"/>
          </w:tcPr>
          <w:p>
            <w:pPr>
              <w:pStyle w:val="TableContents"/>
              <w:bidi w:val="0"/>
              <w:spacing w:before="0" w:after="283"/>
              <w:ind w:left="0" w:right="0" w:hanging="180"/>
              <w:jc w:val="left"/>
              <w:rPr/>
            </w:pPr>
            <w:r>
              <w:rPr/>
              <w:t> </w:t>
            </w:r>
          </w:p>
        </w:tc>
        <w:tc>
          <w:tcPr>
            <w:tcW w:w="9052"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sz w:val="20"/>
                </w:rPr>
                <w:t>Controls and Procedures</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75" w:type="dxa"/>
            <w:tcBorders/>
            <w:shd w:fill="FFFFFF" w:val="clear"/>
            <w:vAlign w:val="center"/>
          </w:tcPr>
          <w:p>
            <w:pPr>
              <w:pStyle w:val="TableContents"/>
              <w:bidi w:val="0"/>
              <w:spacing w:before="0" w:after="283"/>
              <w:jc w:val="left"/>
              <w:rPr/>
            </w:pPr>
            <w:r>
              <w:rPr/>
              <w:t> </w:t>
            </w:r>
          </w:p>
        </w:tc>
        <w:tc>
          <w:tcPr>
            <w:tcW w:w="9794"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869" w:type="dxa"/>
            <w:gridSpan w:val="4"/>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Part II. OTHER INFORMATION</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794"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Item 1.</w:t>
              </w:r>
            </w:hyperlink>
          </w:p>
        </w:tc>
        <w:tc>
          <w:tcPr>
            <w:tcW w:w="32" w:type="dxa"/>
            <w:tcBorders/>
            <w:shd w:fill="CCEEFF" w:val="clear"/>
            <w:vAlign w:val="center"/>
          </w:tcPr>
          <w:p>
            <w:pPr>
              <w:pStyle w:val="TableContents"/>
              <w:bidi w:val="0"/>
              <w:spacing w:before="0" w:after="283"/>
              <w:ind w:left="0" w:right="0" w:hanging="180"/>
              <w:jc w:val="left"/>
              <w:rPr/>
            </w:pPr>
            <w:r>
              <w:rPr/>
              <w:t> </w:t>
            </w:r>
          </w:p>
        </w:tc>
        <w:tc>
          <w:tcPr>
            <w:tcW w:w="9052"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sz w:val="20"/>
                </w:rPr>
                <w:t>Legal Proceedings</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Item 1A.</w:t>
              </w:r>
            </w:hyperlink>
          </w:p>
        </w:tc>
        <w:tc>
          <w:tcPr>
            <w:tcW w:w="32" w:type="dxa"/>
            <w:tcBorders/>
            <w:shd w:fill="FFFFFF" w:val="clear"/>
            <w:vAlign w:val="center"/>
          </w:tcPr>
          <w:p>
            <w:pPr>
              <w:pStyle w:val="TableContents"/>
              <w:bidi w:val="0"/>
              <w:spacing w:before="0" w:after="283"/>
              <w:ind w:left="0" w:right="0" w:hanging="180"/>
              <w:jc w:val="left"/>
              <w:rPr/>
            </w:pPr>
            <w:r>
              <w:rPr/>
              <w:t> </w:t>
            </w:r>
          </w:p>
        </w:tc>
        <w:tc>
          <w:tcPr>
            <w:tcW w:w="9052" w:type="dxa"/>
            <w:tcBorders/>
            <w:shd w:fill="FFFFFF" w:val="clear"/>
            <w:vAlign w:val="center"/>
          </w:tcPr>
          <w:p>
            <w:pPr>
              <w:pStyle w:val="TableContents"/>
              <w:bidi w:val="0"/>
              <w:spacing w:before="0" w:after="283"/>
              <w:jc w:val="both"/>
              <w:rPr/>
            </w:pPr>
            <w:hyperlink w:anchor="a_013">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38</w:t>
            </w:r>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Item 2.</w:t>
              </w:r>
            </w:hyperlink>
          </w:p>
        </w:tc>
        <w:tc>
          <w:tcPr>
            <w:tcW w:w="32" w:type="dxa"/>
            <w:tcBorders/>
            <w:shd w:fill="CCEEFF" w:val="clear"/>
            <w:vAlign w:val="center"/>
          </w:tcPr>
          <w:p>
            <w:pPr>
              <w:pStyle w:val="TableContents"/>
              <w:bidi w:val="0"/>
              <w:spacing w:before="0" w:after="283"/>
              <w:ind w:left="0" w:right="0" w:hanging="180"/>
              <w:jc w:val="left"/>
              <w:rPr/>
            </w:pPr>
            <w:r>
              <w:rPr/>
              <w:t> </w:t>
            </w:r>
          </w:p>
        </w:tc>
        <w:tc>
          <w:tcPr>
            <w:tcW w:w="9052"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sz w:val="20"/>
                </w:rPr>
                <w:t>Unregistered Sales of Equity Securities and Use of Proceeds</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Item 3.</w:t>
              </w:r>
            </w:hyperlink>
          </w:p>
        </w:tc>
        <w:tc>
          <w:tcPr>
            <w:tcW w:w="32" w:type="dxa"/>
            <w:tcBorders/>
            <w:shd w:fill="FFFFFF" w:val="clear"/>
            <w:vAlign w:val="center"/>
          </w:tcPr>
          <w:p>
            <w:pPr>
              <w:pStyle w:val="TableContents"/>
              <w:bidi w:val="0"/>
              <w:spacing w:before="0" w:after="283"/>
              <w:ind w:left="0" w:right="0" w:hanging="180"/>
              <w:jc w:val="left"/>
              <w:rPr/>
            </w:pPr>
            <w:r>
              <w:rPr/>
              <w:t> </w:t>
            </w:r>
          </w:p>
        </w:tc>
        <w:tc>
          <w:tcPr>
            <w:tcW w:w="9052" w:type="dxa"/>
            <w:tcBorders/>
            <w:shd w:fill="FFFFFF" w:val="clear"/>
            <w:vAlign w:val="center"/>
          </w:tcPr>
          <w:p>
            <w:pPr>
              <w:pStyle w:val="TableContents"/>
              <w:bidi w:val="0"/>
              <w:spacing w:before="0" w:after="283"/>
              <w:jc w:val="both"/>
              <w:rPr/>
            </w:pPr>
            <w:hyperlink w:anchor="a_015">
              <w:r>
                <w:rPr>
                  <w:rStyle w:val="InternetLink"/>
                  <w:rFonts w:ascii="Times New Roman;Times;Serif" w:hAnsi="Times New Roman;Times;Serif"/>
                  <w:sz w:val="20"/>
                </w:rPr>
                <w:t>Defaults Upon Senior Securities</w:t>
              </w:r>
            </w:hyperlink>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Item 4.</w:t>
              </w:r>
            </w:hyperlink>
          </w:p>
        </w:tc>
        <w:tc>
          <w:tcPr>
            <w:tcW w:w="32" w:type="dxa"/>
            <w:tcBorders/>
            <w:shd w:fill="CCEEFF" w:val="clear"/>
            <w:vAlign w:val="center"/>
          </w:tcPr>
          <w:p>
            <w:pPr>
              <w:pStyle w:val="TableContents"/>
              <w:bidi w:val="0"/>
              <w:spacing w:before="0" w:after="283"/>
              <w:ind w:left="0" w:right="0" w:hanging="180"/>
              <w:jc w:val="left"/>
              <w:rPr/>
            </w:pPr>
            <w:r>
              <w:rPr/>
              <w:t> </w:t>
            </w:r>
          </w:p>
        </w:tc>
        <w:tc>
          <w:tcPr>
            <w:tcW w:w="9052"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sz w:val="20"/>
                </w:rPr>
                <w:t>Mine Safety Disclosures</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Item 5.</w:t>
              </w:r>
            </w:hyperlink>
          </w:p>
        </w:tc>
        <w:tc>
          <w:tcPr>
            <w:tcW w:w="32" w:type="dxa"/>
            <w:tcBorders/>
            <w:shd w:fill="FFFFFF" w:val="clear"/>
            <w:vAlign w:val="center"/>
          </w:tcPr>
          <w:p>
            <w:pPr>
              <w:pStyle w:val="TableContents"/>
              <w:bidi w:val="0"/>
              <w:spacing w:before="0" w:after="283"/>
              <w:ind w:left="0" w:right="0" w:hanging="180"/>
              <w:jc w:val="left"/>
              <w:rPr/>
            </w:pPr>
            <w:r>
              <w:rPr/>
              <w:t> </w:t>
            </w:r>
          </w:p>
        </w:tc>
        <w:tc>
          <w:tcPr>
            <w:tcW w:w="9052" w:type="dxa"/>
            <w:tcBorders/>
            <w:shd w:fill="FFFFFF" w:val="clear"/>
            <w:vAlign w:val="center"/>
          </w:tcPr>
          <w:p>
            <w:pPr>
              <w:pStyle w:val="TableContents"/>
              <w:bidi w:val="0"/>
              <w:spacing w:before="0" w:after="283"/>
              <w:jc w:val="both"/>
              <w:rPr/>
            </w:pPr>
            <w:hyperlink w:anchor="a_017">
              <w:r>
                <w:rPr>
                  <w:rStyle w:val="InternetLink"/>
                  <w:rFonts w:ascii="Times New Roman;Times;Serif" w:hAnsi="Times New Roman;Times;Serif"/>
                  <w:sz w:val="20"/>
                </w:rPr>
                <w:t>Other Information</w:t>
              </w:r>
            </w:hyperlink>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Item 6.</w:t>
              </w:r>
            </w:hyperlink>
          </w:p>
        </w:tc>
        <w:tc>
          <w:tcPr>
            <w:tcW w:w="32" w:type="dxa"/>
            <w:tcBorders/>
            <w:shd w:fill="CCEEFF" w:val="clear"/>
            <w:vAlign w:val="center"/>
          </w:tcPr>
          <w:p>
            <w:pPr>
              <w:pStyle w:val="TableContents"/>
              <w:bidi w:val="0"/>
              <w:spacing w:before="0" w:after="283"/>
              <w:ind w:left="0" w:right="0" w:hanging="180"/>
              <w:jc w:val="left"/>
              <w:rPr/>
            </w:pPr>
            <w:r>
              <w:rPr/>
              <w:t> </w:t>
            </w:r>
          </w:p>
        </w:tc>
        <w:tc>
          <w:tcPr>
            <w:tcW w:w="9052"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sz w:val="20"/>
                </w:rPr>
                <w:t>Exhibits</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75" w:type="dxa"/>
            <w:tcBorders/>
            <w:shd w:fill="FFFFFF" w:val="clear"/>
            <w:vAlign w:val="center"/>
          </w:tcPr>
          <w:p>
            <w:pPr>
              <w:pStyle w:val="TableContents"/>
              <w:bidi w:val="0"/>
              <w:spacing w:before="0" w:after="283"/>
              <w:jc w:val="left"/>
              <w:rPr/>
            </w:pPr>
            <w:r>
              <w:rPr/>
              <w:t> </w:t>
            </w:r>
          </w:p>
        </w:tc>
        <w:tc>
          <w:tcPr>
            <w:tcW w:w="9794"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869" w:type="dxa"/>
            <w:gridSpan w:val="4"/>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SIGNATURES</w:t>
              </w:r>
            </w:hyperlink>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2" w:name="a_001"/>
      <w:bookmarkEnd w:id="32"/>
      <w:r>
        <w:rPr>
          <w:rFonts w:ascii="Times New Roman;Times;Serif" w:hAnsi="Times New Roman;Times;Serif"/>
          <w:b/>
          <w:i w:val="false"/>
          <w:caps w:val="false"/>
          <w:smallCaps w:val="false"/>
          <w:sz w:val="20"/>
        </w:rPr>
        <w:t>PART I. FINANCIAL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3" w:name="a_002"/>
      <w:bookmarkEnd w:id="33"/>
      <w:r>
        <w:rPr>
          <w:rFonts w:ascii="Times New Roman;Times;Serif" w:hAnsi="Times New Roman;Times;Serif"/>
          <w:b/>
          <w:i w:val="false"/>
          <w:caps w:val="false"/>
          <w:smallCaps w:val="false"/>
          <w:sz w:val="20"/>
        </w:rPr>
        <w:t>Item 1: Interim Financial Statements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4" w:name="a_003"/>
      <w:bookmarkEnd w:id="34"/>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 w:name="xdx_300_111_pn3n3_z4nivR9tJ8eb"/>
      <w:bookmarkStart w:id="36" w:name="xdx_300_111_pn3n3_z4nivR9tJ8eb"/>
      <w:bookmarkEnd w:id="36"/>
    </w:p>
    <w:tbl>
      <w:tblPr>
        <w:tblW w:w="10205" w:type="dxa"/>
        <w:jc w:val="left"/>
        <w:tblInd w:w="0" w:type="dxa"/>
        <w:tblLayout w:type="fixed"/>
        <w:tblCellMar>
          <w:top w:w="0" w:type="dxa"/>
          <w:left w:w="0" w:type="dxa"/>
          <w:bottom w:w="0" w:type="dxa"/>
          <w:right w:w="0" w:type="dxa"/>
        </w:tblCellMar>
      </w:tblPr>
      <w:tblGrid>
        <w:gridCol w:w="7403"/>
        <w:gridCol w:w="60"/>
        <w:gridCol w:w="168"/>
        <w:gridCol w:w="913"/>
        <w:gridCol w:w="95"/>
        <w:gridCol w:w="60"/>
        <w:gridCol w:w="221"/>
        <w:gridCol w:w="1194"/>
        <w:gridCol w:w="91"/>
      </w:tblGrid>
      <w:tr>
        <w:trPr/>
        <w:tc>
          <w:tcPr>
            <w:tcW w:w="7403"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bookmarkStart w:id="37" w:name="xdx_49A_20240331__srt--StatementScenario"/>
            <w:bookmarkEnd w:id="37"/>
          </w:p>
        </w:tc>
        <w:tc>
          <w:tcPr>
            <w:tcW w:w="9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bookmarkStart w:id="38" w:name="xdx_491_20231231__srt--StatementScenario"/>
            <w:bookmarkEnd w:id="38"/>
          </w:p>
        </w:tc>
        <w:tc>
          <w:tcPr>
            <w:tcW w:w="119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4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5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1" w:type="dxa"/>
            <w:tcBorders/>
            <w:vAlign w:val="center"/>
          </w:tcPr>
          <w:p>
            <w:pPr>
              <w:pStyle w:val="TableContents"/>
              <w:bidi w:val="0"/>
              <w:spacing w:before="0" w:after="283"/>
              <w:ind w:left="0" w:right="0" w:hanging="180"/>
              <w:jc w:val="center"/>
              <w:rPr/>
            </w:pPr>
            <w:r>
              <w:rPr/>
              <w:t> </w:t>
            </w:r>
          </w:p>
        </w:tc>
      </w:tr>
      <w:tr>
        <w:trPr/>
        <w:tc>
          <w:tcPr>
            <w:tcW w:w="74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2023</w:t>
            </w:r>
          </w:p>
        </w:tc>
        <w:tc>
          <w:tcPr>
            <w:tcW w:w="91" w:type="dxa"/>
            <w:tcBorders/>
            <w:vAlign w:val="center"/>
          </w:tcPr>
          <w:p>
            <w:pPr>
              <w:pStyle w:val="TableContents"/>
              <w:bidi w:val="0"/>
              <w:spacing w:before="0" w:after="283"/>
              <w:ind w:left="0" w:right="0" w:hanging="180"/>
              <w:jc w:val="center"/>
              <w:rPr/>
            </w:pPr>
            <w:r>
              <w:rPr/>
              <w:t> </w:t>
            </w:r>
          </w:p>
        </w:tc>
      </w:tr>
      <w:tr>
        <w:trPr/>
        <w:tc>
          <w:tcPr>
            <w:tcW w:w="74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1"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bookmarkStart w:id="39" w:name="xdx_40D_eus-gaap--AssetsAbstract_iB_zj79"/>
            <w:bookmarkEnd w:id="39"/>
          </w:p>
        </w:tc>
      </w:tr>
      <w:tr>
        <w:trPr/>
        <w:tc>
          <w:tcPr>
            <w:tcW w:w="7403"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bookmarkStart w:id="40" w:name="xdx_403_eus-gaap--AssetsCurrentAbstract_"/>
            <w:bookmarkEnd w:id="40"/>
          </w:p>
        </w:tc>
      </w:tr>
      <w:tr>
        <w:trPr/>
        <w:tc>
          <w:tcPr>
            <w:tcW w:w="7403"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bookmarkStart w:id="41" w:name="xdx_40F_eus-gaap--CashAndCashEquivalents"/>
            <w:bookmarkEnd w:id="41"/>
          </w:p>
        </w:tc>
      </w:tr>
      <w:tr>
        <w:trPr/>
        <w:tc>
          <w:tcPr>
            <w:tcW w:w="7403"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913" w:type="dxa"/>
            <w:tcBorders/>
            <w:shd w:fill="FFFFFF" w:val="clear"/>
            <w:vAlign w:val="center"/>
          </w:tcPr>
          <w:p>
            <w:pPr>
              <w:pStyle w:val="TableContents"/>
              <w:bidi w:val="0"/>
              <w:spacing w:before="0" w:after="283"/>
              <w:jc w:val="right"/>
              <w:rPr/>
            </w:pPr>
            <w:r>
              <w:rPr/>
              <w:t>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4" w:type="dxa"/>
            <w:tcBorders/>
            <w:shd w:fill="FFFFFF" w:val="clear"/>
            <w:vAlign w:val="center"/>
          </w:tcPr>
          <w:p>
            <w:pPr>
              <w:pStyle w:val="TableContents"/>
              <w:bidi w:val="0"/>
              <w:spacing w:before="0" w:after="283"/>
              <w:jc w:val="right"/>
              <w:rPr/>
            </w:pPr>
            <w:r>
              <w:rPr/>
              <w:t>6,275</w:t>
            </w:r>
          </w:p>
        </w:tc>
        <w:tc>
          <w:tcPr>
            <w:tcW w:w="91" w:type="dxa"/>
            <w:tcBorders/>
            <w:shd w:fill="FFFFFF" w:val="clear"/>
            <w:vAlign w:val="center"/>
          </w:tcPr>
          <w:p>
            <w:pPr>
              <w:pStyle w:val="TableContents"/>
              <w:bidi w:val="0"/>
              <w:spacing w:before="0" w:after="283"/>
              <w:ind w:left="0" w:right="0" w:hanging="180"/>
              <w:jc w:val="left"/>
              <w:rPr/>
            </w:pPr>
            <w:r>
              <w:rPr/>
              <w:t> </w:t>
            </w:r>
            <w:bookmarkStart w:id="42" w:name="xdx_400_eus-gaap--AccountsReceivableNetC"/>
            <w:bookmarkEnd w:id="42"/>
          </w:p>
        </w:tc>
      </w:tr>
      <w:tr>
        <w:trPr/>
        <w:tc>
          <w:tcPr>
            <w:tcW w:w="7403" w:type="dxa"/>
            <w:tcBorders/>
            <w:shd w:fill="CCEEFF" w:val="clear"/>
            <w:vAlign w:val="center"/>
          </w:tcPr>
          <w:p>
            <w:pPr>
              <w:pStyle w:val="TableContents"/>
              <w:bidi w:val="0"/>
              <w:spacing w:before="0" w:after="283"/>
              <w:jc w:val="left"/>
              <w:rPr/>
            </w:pPr>
            <w:r>
              <w:rPr/>
              <w:t>Accounts receivable, net of allowance for credit losses of $</w:t>
            </w:r>
            <w:bookmarkStart w:id="43" w:name="xdx_900_eus-gaap--AllowanceForDoubtfulAc"/>
            <w:bookmarkStart w:id="44" w:name="xdx_901_eus-gaap--AllowanceForDoubtfulAc"/>
            <w:bookmarkEnd w:id="43"/>
            <w:bookmarkEnd w:id="44"/>
            <w:r>
              <w:rPr/>
              <w:t>2 as of March 31, 2024 and December 31, 2023</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1,956</w:t>
            </w:r>
          </w:p>
        </w:tc>
        <w:tc>
          <w:tcPr>
            <w:tcW w:w="91" w:type="dxa"/>
            <w:tcBorders/>
            <w:shd w:fill="CCEEFF" w:val="clear"/>
            <w:vAlign w:val="center"/>
          </w:tcPr>
          <w:p>
            <w:pPr>
              <w:pStyle w:val="TableContents"/>
              <w:bidi w:val="0"/>
              <w:spacing w:before="0" w:after="283"/>
              <w:ind w:left="0" w:right="0" w:hanging="180"/>
              <w:jc w:val="left"/>
              <w:rPr/>
            </w:pPr>
            <w:r>
              <w:rPr/>
              <w:t> </w:t>
            </w:r>
            <w:bookmarkStart w:id="45" w:name="xdx_40D_eus-gaap--OtherReceivablesNetCur"/>
            <w:bookmarkEnd w:id="45"/>
          </w:p>
        </w:tc>
      </w:tr>
      <w:tr>
        <w:trPr/>
        <w:tc>
          <w:tcPr>
            <w:tcW w:w="7403" w:type="dxa"/>
            <w:tcBorders/>
            <w:shd w:fill="FFFFFF" w:val="clear"/>
            <w:vAlign w:val="center"/>
          </w:tcPr>
          <w:p>
            <w:pPr>
              <w:pStyle w:val="TableContents"/>
              <w:bidi w:val="0"/>
              <w:spacing w:before="0" w:after="283"/>
              <w:jc w:val="left"/>
              <w:rPr/>
            </w:pPr>
            <w:r>
              <w:rPr/>
              <w:t>Unbilled and other receivables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211</w:t>
            </w:r>
          </w:p>
        </w:tc>
        <w:tc>
          <w:tcPr>
            <w:tcW w:w="91" w:type="dxa"/>
            <w:tcBorders/>
            <w:shd w:fill="FFFFFF" w:val="clear"/>
            <w:vAlign w:val="center"/>
          </w:tcPr>
          <w:p>
            <w:pPr>
              <w:pStyle w:val="TableContents"/>
              <w:bidi w:val="0"/>
              <w:spacing w:before="0" w:after="283"/>
              <w:ind w:left="0" w:right="0" w:hanging="180"/>
              <w:jc w:val="left"/>
              <w:rPr/>
            </w:pPr>
            <w:r>
              <w:rPr/>
              <w:t> </w:t>
            </w:r>
            <w:bookmarkStart w:id="46" w:name="xdx_409_eus-gaap--PrepaidExpenseAndOther"/>
            <w:bookmarkEnd w:id="46"/>
          </w:p>
        </w:tc>
      </w:tr>
      <w:tr>
        <w:trPr/>
        <w:tc>
          <w:tcPr>
            <w:tcW w:w="7403"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CCEEFF" w:val="clear"/>
            <w:tcMar>
              <w:bottom w:w="28" w:type="dxa"/>
            </w:tcMar>
            <w:vAlign w:val="center"/>
          </w:tcPr>
          <w:p>
            <w:pPr>
              <w:pStyle w:val="TableContents"/>
              <w:bidi w:val="0"/>
              <w:spacing w:before="0" w:after="283"/>
              <w:jc w:val="right"/>
              <w:rPr/>
            </w:pPr>
            <w:r>
              <w:rPr/>
              <w:t>587</w:t>
            </w:r>
          </w:p>
        </w:tc>
        <w:tc>
          <w:tcPr>
            <w:tcW w:w="91" w:type="dxa"/>
            <w:tcBorders/>
            <w:shd w:fill="CCEEFF" w:val="clear"/>
            <w:vAlign w:val="center"/>
          </w:tcPr>
          <w:p>
            <w:pPr>
              <w:pStyle w:val="TableContents"/>
              <w:bidi w:val="0"/>
              <w:spacing w:before="0" w:after="283"/>
              <w:ind w:left="0" w:right="0" w:hanging="180"/>
              <w:jc w:val="left"/>
              <w:rPr/>
            </w:pPr>
            <w:r>
              <w:rPr/>
              <w:t> </w:t>
            </w:r>
            <w:bookmarkStart w:id="47" w:name="xdx_406_eus-gaap--AssetsCurrent_i01TI_mt"/>
            <w:bookmarkEnd w:id="47"/>
          </w:p>
        </w:tc>
      </w:tr>
      <w:tr>
        <w:trPr/>
        <w:tc>
          <w:tcPr>
            <w:tcW w:w="7403"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7,805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9,029</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4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bookmarkStart w:id="48" w:name="xdx_402_eus-gaap--PropertyPlantAndEquipm"/>
            <w:bookmarkEnd w:id="48"/>
          </w:p>
        </w:tc>
      </w:tr>
      <w:tr>
        <w:trPr/>
        <w:tc>
          <w:tcPr>
            <w:tcW w:w="7403"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115</w:t>
            </w:r>
          </w:p>
        </w:tc>
        <w:tc>
          <w:tcPr>
            <w:tcW w:w="91" w:type="dxa"/>
            <w:tcBorders/>
            <w:shd w:fill="FFFFFF" w:val="clear"/>
            <w:vAlign w:val="center"/>
          </w:tcPr>
          <w:p>
            <w:pPr>
              <w:pStyle w:val="TableContents"/>
              <w:bidi w:val="0"/>
              <w:spacing w:before="0" w:after="283"/>
              <w:ind w:left="0" w:right="0" w:hanging="180"/>
              <w:jc w:val="left"/>
              <w:rPr/>
            </w:pPr>
            <w:r>
              <w:rPr/>
              <w:t> </w:t>
            </w:r>
            <w:bookmarkStart w:id="49" w:name="xdx_408_eus-gaap--IntangibleAssetsNetExc"/>
            <w:bookmarkEnd w:id="49"/>
          </w:p>
        </w:tc>
      </w:tr>
      <w:tr>
        <w:trPr/>
        <w:tc>
          <w:tcPr>
            <w:tcW w:w="7403"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17,453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18,136</w:t>
            </w:r>
          </w:p>
        </w:tc>
        <w:tc>
          <w:tcPr>
            <w:tcW w:w="91" w:type="dxa"/>
            <w:tcBorders/>
            <w:shd w:fill="CCEEFF" w:val="clear"/>
            <w:vAlign w:val="center"/>
          </w:tcPr>
          <w:p>
            <w:pPr>
              <w:pStyle w:val="TableContents"/>
              <w:bidi w:val="0"/>
              <w:spacing w:before="0" w:after="283"/>
              <w:ind w:left="0" w:right="0" w:hanging="180"/>
              <w:jc w:val="left"/>
              <w:rPr/>
            </w:pPr>
            <w:r>
              <w:rPr/>
              <w:t> </w:t>
            </w:r>
            <w:bookmarkStart w:id="50" w:name="xdx_402_eus-gaap--OperatingLeaseRightOfU"/>
            <w:bookmarkEnd w:id="50"/>
          </w:p>
        </w:tc>
      </w:tr>
      <w:tr>
        <w:trPr/>
        <w:tc>
          <w:tcPr>
            <w:tcW w:w="7403" w:type="dxa"/>
            <w:tcBorders/>
            <w:shd w:fill="FFFFFF" w:val="clear"/>
            <w:vAlign w:val="center"/>
          </w:tcPr>
          <w:p>
            <w:pPr>
              <w:pStyle w:val="TableContents"/>
              <w:bidi w:val="0"/>
              <w:spacing w:before="0" w:after="283"/>
              <w:jc w:val="left"/>
              <w:rPr/>
            </w:pPr>
            <w:r>
              <w:rPr/>
              <w:t>Operating lease right-of-use asset, net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486</w:t>
            </w:r>
          </w:p>
        </w:tc>
        <w:tc>
          <w:tcPr>
            <w:tcW w:w="91" w:type="dxa"/>
            <w:tcBorders/>
            <w:shd w:fill="FFFFFF" w:val="clear"/>
            <w:vAlign w:val="center"/>
          </w:tcPr>
          <w:p>
            <w:pPr>
              <w:pStyle w:val="TableContents"/>
              <w:bidi w:val="0"/>
              <w:spacing w:before="0" w:after="283"/>
              <w:ind w:left="0" w:right="0" w:hanging="180"/>
              <w:jc w:val="left"/>
              <w:rPr/>
            </w:pPr>
            <w:r>
              <w:rPr/>
              <w:t> </w:t>
            </w:r>
            <w:bookmarkStart w:id="51" w:name="xdx_400_eus-gaap--Goodwill_i01I_maCzMWD_"/>
            <w:bookmarkEnd w:id="51"/>
          </w:p>
        </w:tc>
      </w:tr>
      <w:tr>
        <w:trPr/>
        <w:tc>
          <w:tcPr>
            <w:tcW w:w="7403"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8,737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8,737</w:t>
            </w:r>
          </w:p>
        </w:tc>
        <w:tc>
          <w:tcPr>
            <w:tcW w:w="91" w:type="dxa"/>
            <w:tcBorders/>
            <w:shd w:fill="CCEEFF" w:val="clear"/>
            <w:vAlign w:val="center"/>
          </w:tcPr>
          <w:p>
            <w:pPr>
              <w:pStyle w:val="TableContents"/>
              <w:bidi w:val="0"/>
              <w:spacing w:before="0" w:after="283"/>
              <w:ind w:left="0" w:right="0" w:hanging="180"/>
              <w:jc w:val="left"/>
              <w:rPr/>
            </w:pPr>
            <w:r>
              <w:rPr/>
              <w:t> </w:t>
            </w:r>
            <w:bookmarkStart w:id="52" w:name="xdx_40C_eus-gaap--OtherAssetsNoncurrent_"/>
            <w:bookmarkEnd w:id="52"/>
          </w:p>
        </w:tc>
      </w:tr>
      <w:tr>
        <w:trPr/>
        <w:tc>
          <w:tcPr>
            <w:tcW w:w="7403"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FFFFFF" w:val="clear"/>
            <w:tcMar>
              <w:bottom w:w="28" w:type="dxa"/>
            </w:tcMar>
            <w:vAlign w:val="center"/>
          </w:tcPr>
          <w:p>
            <w:pPr>
              <w:pStyle w:val="TableContents"/>
              <w:bidi w:val="0"/>
              <w:spacing w:before="0" w:after="283"/>
              <w:jc w:val="right"/>
              <w:rPr/>
            </w:pPr>
            <w:r>
              <w:rPr/>
              <w:t>78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4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bookmarkStart w:id="53" w:name="xdx_40F_eus-gaap--Assets_iTI_mtCzMWD_z60"/>
            <w:bookmarkEnd w:id="53"/>
          </w:p>
        </w:tc>
      </w:tr>
      <w:tr>
        <w:trPr/>
        <w:tc>
          <w:tcPr>
            <w:tcW w:w="7403"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pPr>
            <w:r>
              <w:rPr/>
              <w:t>34,557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6" w:space="0" w:color="000000"/>
            </w:tcBorders>
            <w:shd w:fill="FFFFFF" w:val="clear"/>
            <w:tcMar>
              <w:bottom w:w="28" w:type="dxa"/>
            </w:tcMar>
            <w:vAlign w:val="center"/>
          </w:tcPr>
          <w:p>
            <w:pPr>
              <w:pStyle w:val="TableContents"/>
              <w:bidi w:val="0"/>
              <w:spacing w:before="0" w:after="283"/>
              <w:jc w:val="right"/>
              <w:rPr/>
            </w:pPr>
            <w:r>
              <w:rPr/>
              <w:t>36,581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4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bookmarkStart w:id="54" w:name="xdx_40C_eus-gaap--LiabilitiesAndStockhol"/>
            <w:bookmarkEnd w:id="54"/>
          </w:p>
        </w:tc>
      </w:tr>
      <w:tr>
        <w:trPr/>
        <w:tc>
          <w:tcPr>
            <w:tcW w:w="7403"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4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bookmarkStart w:id="55" w:name="xdx_40D_eus-gaap--LiabilitiesCurrentAbst"/>
            <w:bookmarkEnd w:id="55"/>
          </w:p>
        </w:tc>
      </w:tr>
      <w:tr>
        <w:trPr/>
        <w:tc>
          <w:tcPr>
            <w:tcW w:w="7403"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bookmarkStart w:id="56" w:name="xdx_40B_eus-gaap--AccountsPayableCurrent"/>
            <w:bookmarkEnd w:id="56"/>
          </w:p>
        </w:tc>
      </w:tr>
      <w:tr>
        <w:trPr/>
        <w:tc>
          <w:tcPr>
            <w:tcW w:w="740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1,019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975</w:t>
            </w:r>
          </w:p>
        </w:tc>
        <w:tc>
          <w:tcPr>
            <w:tcW w:w="91" w:type="dxa"/>
            <w:tcBorders/>
            <w:shd w:fill="CCEEFF" w:val="clear"/>
            <w:vAlign w:val="center"/>
          </w:tcPr>
          <w:p>
            <w:pPr>
              <w:pStyle w:val="TableContents"/>
              <w:bidi w:val="0"/>
              <w:spacing w:before="0" w:after="283"/>
              <w:ind w:left="0" w:right="0" w:hanging="180"/>
              <w:jc w:val="left"/>
              <w:rPr/>
            </w:pPr>
            <w:r>
              <w:rPr/>
              <w:t> </w:t>
            </w:r>
            <w:bookmarkStart w:id="57" w:name="xdx_40C_eus-gaap--AccruedLiabilitiesCurr"/>
            <w:bookmarkEnd w:id="57"/>
          </w:p>
        </w:tc>
      </w:tr>
      <w:tr>
        <w:trPr/>
        <w:tc>
          <w:tcPr>
            <w:tcW w:w="7403"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1,452</w:t>
            </w:r>
          </w:p>
        </w:tc>
        <w:tc>
          <w:tcPr>
            <w:tcW w:w="91" w:type="dxa"/>
            <w:tcBorders/>
            <w:shd w:fill="FFFFFF" w:val="clear"/>
            <w:vAlign w:val="center"/>
          </w:tcPr>
          <w:p>
            <w:pPr>
              <w:pStyle w:val="TableContents"/>
              <w:bidi w:val="0"/>
              <w:spacing w:before="0" w:after="283"/>
              <w:ind w:left="0" w:right="0" w:hanging="180"/>
              <w:jc w:val="left"/>
              <w:rPr/>
            </w:pPr>
            <w:r>
              <w:rPr/>
              <w:t> </w:t>
            </w:r>
            <w:bookmarkStart w:id="58" w:name="xdx_409_eus-gaap--DeferredRevenueCurrent"/>
            <w:bookmarkEnd w:id="58"/>
          </w:p>
        </w:tc>
      </w:tr>
      <w:tr>
        <w:trPr/>
        <w:tc>
          <w:tcPr>
            <w:tcW w:w="7403"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2,878</w:t>
            </w:r>
          </w:p>
        </w:tc>
        <w:tc>
          <w:tcPr>
            <w:tcW w:w="91" w:type="dxa"/>
            <w:tcBorders/>
            <w:shd w:fill="CCEEFF" w:val="clear"/>
            <w:vAlign w:val="center"/>
          </w:tcPr>
          <w:p>
            <w:pPr>
              <w:pStyle w:val="TableContents"/>
              <w:bidi w:val="0"/>
              <w:spacing w:before="0" w:after="283"/>
              <w:ind w:left="0" w:right="0" w:hanging="180"/>
              <w:jc w:val="left"/>
              <w:rPr/>
            </w:pPr>
            <w:r>
              <w:rPr/>
              <w:t> </w:t>
            </w:r>
            <w:bookmarkStart w:id="59" w:name="xdx_409_eus-gaap--ExtendedProductWarrant"/>
            <w:bookmarkEnd w:id="59"/>
          </w:p>
        </w:tc>
      </w:tr>
      <w:tr>
        <w:trPr/>
        <w:tc>
          <w:tcPr>
            <w:tcW w:w="7403"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3,155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1,683</w:t>
            </w:r>
          </w:p>
        </w:tc>
        <w:tc>
          <w:tcPr>
            <w:tcW w:w="91" w:type="dxa"/>
            <w:tcBorders/>
            <w:shd w:fill="FFFFFF" w:val="clear"/>
            <w:vAlign w:val="center"/>
          </w:tcPr>
          <w:p>
            <w:pPr>
              <w:pStyle w:val="TableContents"/>
              <w:bidi w:val="0"/>
              <w:spacing w:before="0" w:after="283"/>
              <w:ind w:left="0" w:right="0" w:hanging="180"/>
              <w:jc w:val="left"/>
              <w:rPr/>
            </w:pPr>
            <w:r>
              <w:rPr/>
              <w:t> </w:t>
            </w:r>
            <w:bookmarkStart w:id="60" w:name="xdx_401_eus-gaap--OperatingLeaseLiabilit"/>
            <w:bookmarkEnd w:id="60"/>
          </w:p>
        </w:tc>
      </w:tr>
      <w:tr>
        <w:trPr/>
        <w:tc>
          <w:tcPr>
            <w:tcW w:w="7403" w:type="dxa"/>
            <w:tcBorders/>
            <w:shd w:fill="CCEEFF" w:val="clear"/>
            <w:vAlign w:val="center"/>
          </w:tcPr>
          <w:p>
            <w:pPr>
              <w:pStyle w:val="TableContents"/>
              <w:bidi w:val="0"/>
              <w:spacing w:before="0" w:after="283"/>
              <w:jc w:val="left"/>
              <w:rPr/>
            </w:pPr>
            <w:r>
              <w:rPr/>
              <w:t>Operating lease obligation, current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275</w:t>
            </w:r>
          </w:p>
        </w:tc>
        <w:tc>
          <w:tcPr>
            <w:tcW w:w="91" w:type="dxa"/>
            <w:tcBorders/>
            <w:shd w:fill="CCEEFF" w:val="clear"/>
            <w:vAlign w:val="center"/>
          </w:tcPr>
          <w:p>
            <w:pPr>
              <w:pStyle w:val="TableContents"/>
              <w:bidi w:val="0"/>
              <w:spacing w:before="0" w:after="283"/>
              <w:ind w:left="0" w:right="0" w:hanging="180"/>
              <w:jc w:val="left"/>
              <w:rPr/>
            </w:pPr>
            <w:r>
              <w:rPr/>
              <w:t> </w:t>
            </w:r>
            <w:bookmarkStart w:id="61" w:name="xdx_40E_eus-gaap--NotesPayableCurrent_i0"/>
            <w:bookmarkEnd w:id="61"/>
          </w:p>
        </w:tc>
      </w:tr>
      <w:tr>
        <w:trPr/>
        <w:tc>
          <w:tcPr>
            <w:tcW w:w="7403" w:type="dxa"/>
            <w:tcBorders/>
            <w:shd w:fill="FFFFFF" w:val="clear"/>
            <w:vAlign w:val="center"/>
          </w:tcPr>
          <w:p>
            <w:pPr>
              <w:pStyle w:val="TableContents"/>
              <w:bidi w:val="0"/>
              <w:spacing w:before="0" w:after="283"/>
              <w:jc w:val="left"/>
              <w:rPr/>
            </w:pPr>
            <w:r>
              <w:rPr/>
              <w:t>Note payable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3,373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FFFFFF" w:val="clear"/>
            <w:tcMar>
              <w:bottom w:w="28" w:type="dxa"/>
            </w:tcMar>
            <w:vAlign w:val="center"/>
          </w:tcPr>
          <w:p>
            <w:pPr>
              <w:pStyle w:val="TableContents"/>
              <w:bidi w:val="0"/>
              <w:spacing w:before="0" w:after="283"/>
              <w:jc w:val="right"/>
              <w:rPr/>
            </w:pPr>
            <w:r>
              <w:rPr/>
              <w:t>3,053</w:t>
            </w:r>
          </w:p>
        </w:tc>
        <w:tc>
          <w:tcPr>
            <w:tcW w:w="91" w:type="dxa"/>
            <w:tcBorders/>
            <w:shd w:fill="FFFFFF" w:val="clear"/>
            <w:vAlign w:val="center"/>
          </w:tcPr>
          <w:p>
            <w:pPr>
              <w:pStyle w:val="TableContents"/>
              <w:bidi w:val="0"/>
              <w:spacing w:before="0" w:after="283"/>
              <w:ind w:left="0" w:right="0" w:hanging="180"/>
              <w:jc w:val="left"/>
              <w:rPr/>
            </w:pPr>
            <w:r>
              <w:rPr/>
              <w:t> </w:t>
            </w:r>
            <w:bookmarkStart w:id="62" w:name="xdx_40A_eus-gaap--LiabilitiesCurrent_i02"/>
            <w:bookmarkEnd w:id="62"/>
          </w:p>
        </w:tc>
      </w:tr>
      <w:tr>
        <w:trPr/>
        <w:tc>
          <w:tcPr>
            <w:tcW w:w="7403"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13,085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10,316</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bookmarkStart w:id="63" w:name="xdx_400_eus-gaap--OperatingLeaseLiabilit"/>
            <w:bookmarkEnd w:id="63"/>
          </w:p>
        </w:tc>
      </w:tr>
      <w:tr>
        <w:trPr/>
        <w:tc>
          <w:tcPr>
            <w:tcW w:w="7403" w:type="dxa"/>
            <w:tcBorders/>
            <w:shd w:fill="CCEEFF" w:val="clear"/>
            <w:vAlign w:val="center"/>
          </w:tcPr>
          <w:p>
            <w:pPr>
              <w:pStyle w:val="TableContents"/>
              <w:bidi w:val="0"/>
              <w:spacing w:before="0" w:after="283"/>
              <w:jc w:val="left"/>
              <w:rPr/>
            </w:pPr>
            <w:r>
              <w:rPr/>
              <w:t>Operating lease obligation, noncurrent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230</w:t>
            </w:r>
          </w:p>
        </w:tc>
        <w:tc>
          <w:tcPr>
            <w:tcW w:w="91" w:type="dxa"/>
            <w:tcBorders/>
            <w:shd w:fill="CCEEFF" w:val="clear"/>
            <w:vAlign w:val="center"/>
          </w:tcPr>
          <w:p>
            <w:pPr>
              <w:pStyle w:val="TableContents"/>
              <w:bidi w:val="0"/>
              <w:spacing w:before="0" w:after="283"/>
              <w:ind w:left="0" w:right="0" w:hanging="180"/>
              <w:jc w:val="left"/>
              <w:rPr/>
            </w:pPr>
            <w:r>
              <w:rPr/>
              <w:t> </w:t>
            </w:r>
            <w:bookmarkStart w:id="64" w:name="xdx_400_eus-gaap--DeferredIncomeTaxLiabi"/>
            <w:bookmarkEnd w:id="64"/>
          </w:p>
        </w:tc>
      </w:tr>
      <w:tr>
        <w:trPr/>
        <w:tc>
          <w:tcPr>
            <w:tcW w:w="7403"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637</w:t>
            </w:r>
          </w:p>
        </w:tc>
        <w:tc>
          <w:tcPr>
            <w:tcW w:w="91" w:type="dxa"/>
            <w:tcBorders/>
            <w:shd w:fill="FFFFFF" w:val="clear"/>
            <w:vAlign w:val="center"/>
          </w:tcPr>
          <w:p>
            <w:pPr>
              <w:pStyle w:val="TableContents"/>
              <w:bidi w:val="0"/>
              <w:spacing w:before="0" w:after="283"/>
              <w:ind w:left="0" w:right="0" w:hanging="180"/>
              <w:jc w:val="left"/>
              <w:rPr/>
            </w:pPr>
            <w:r>
              <w:rPr/>
              <w:t> </w:t>
            </w:r>
            <w:bookmarkStart w:id="65" w:name="xdx_40F_eus-gaap--OtherLiabilitiesNoncur"/>
            <w:bookmarkEnd w:id="65"/>
          </w:p>
        </w:tc>
      </w:tr>
      <w:tr>
        <w:trPr/>
        <w:tc>
          <w:tcPr>
            <w:tcW w:w="7403"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bookmarkStart w:id="66" w:name="xdx_407_eus-gaap--Liabilities_i02TI_mtCz"/>
            <w:bookmarkEnd w:id="66"/>
          </w:p>
        </w:tc>
      </w:tr>
      <w:tr>
        <w:trPr/>
        <w:tc>
          <w:tcPr>
            <w:tcW w:w="7403"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13,676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single" w:sz="8" w:space="0" w:color="000000"/>
            </w:tcBorders>
            <w:shd w:fill="CCEEFF" w:val="clear"/>
            <w:tcMar>
              <w:bottom w:w="28" w:type="dxa"/>
            </w:tcMar>
            <w:vAlign w:val="center"/>
          </w:tcPr>
          <w:p>
            <w:pPr>
              <w:pStyle w:val="TableContents"/>
              <w:bidi w:val="0"/>
              <w:spacing w:before="0" w:after="283"/>
              <w:jc w:val="right"/>
              <w:rPr/>
            </w:pPr>
            <w:r>
              <w:rPr/>
              <w:t>11,183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bookmarkStart w:id="67" w:name="xdx_401_eus-gaap--CommitmentsAndContinge"/>
            <w:bookmarkEnd w:id="67"/>
          </w:p>
        </w:tc>
      </w:tr>
      <w:tr>
        <w:trPr/>
        <w:tc>
          <w:tcPr>
            <w:tcW w:w="7403"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bookmarkStart w:id="68" w:name="xdx_407_eus-gaap--StockholdersEquityAbst"/>
            <w:bookmarkEnd w:id="68"/>
          </w:p>
        </w:tc>
      </w:tr>
      <w:tr>
        <w:trPr/>
        <w:tc>
          <w:tcPr>
            <w:tcW w:w="7403"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03" w:type="dxa"/>
            <w:tcBorders/>
            <w:shd w:fill="FFFFFF" w:val="clear"/>
            <w:vAlign w:val="center"/>
          </w:tcPr>
          <w:p>
            <w:pPr>
              <w:pStyle w:val="TableContents"/>
              <w:bidi w:val="0"/>
              <w:spacing w:before="0" w:after="283"/>
              <w:jc w:val="left"/>
              <w:rPr/>
            </w:pPr>
            <w:r>
              <w:rPr/>
              <w:t>Class A Common Stock, $</w:t>
            </w:r>
            <w:bookmarkStart w:id="69" w:name="xdx_909_eus-gaap--CommonStockParOrStated"/>
            <w:bookmarkStart w:id="70" w:name="xdx_90D_eus-gaap--CommonStockParOrStated"/>
            <w:bookmarkEnd w:id="69"/>
            <w:bookmarkEnd w:id="70"/>
            <w:r>
              <w:rPr/>
              <w:t xml:space="preserve">0.0001 par value; </w:t>
            </w:r>
            <w:bookmarkStart w:id="71" w:name="xdx_903_eus-gaap--CommonStockSharesAutho"/>
            <w:bookmarkStart w:id="72" w:name="xdx_90B_eus-gaap--CommonStockSharesAutho"/>
            <w:bookmarkEnd w:id="71"/>
            <w:bookmarkEnd w:id="72"/>
            <w:r>
              <w:rPr/>
              <w:t xml:space="preserve">200,000,000 shares authorized; </w:t>
            </w:r>
            <w:bookmarkStart w:id="73" w:name="xdx_902_eus-gaap--CommonStockSharesOutst"/>
            <w:bookmarkStart w:id="74" w:name="xdx_905_eus-gaap--CommonStockSharesIssue"/>
            <w:bookmarkStart w:id="75" w:name="xdx_90D_eus-gaap--CommonStockSharesOutst"/>
            <w:bookmarkStart w:id="76" w:name="xdx_90B_eus-gaap--CommonStockSharesIssue"/>
            <w:bookmarkEnd w:id="73"/>
            <w:bookmarkEnd w:id="74"/>
            <w:bookmarkEnd w:id="75"/>
            <w:bookmarkEnd w:id="76"/>
            <w:r>
              <w:rPr/>
              <w:t>15,254,389 shares issued and outstanding as of March 31, 2024 and December 31, 2023</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bookmarkStart w:id="77" w:name="xdx_984_eus-gaap--CommonStockValue_iI_pn"/>
            <w:bookmarkEnd w:id="77"/>
          </w:p>
        </w:tc>
        <w:tc>
          <w:tcPr>
            <w:tcW w:w="913"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bookmarkStart w:id="78" w:name="xdx_98C_eus-gaap--CommonStockValue_iI_pn"/>
            <w:bookmarkEnd w:id="78"/>
          </w:p>
        </w:tc>
        <w:tc>
          <w:tcPr>
            <w:tcW w:w="1194" w:type="dxa"/>
            <w:tcBorders/>
            <w:shd w:fill="FFFFFF" w:val="clear"/>
            <w:vAlign w:val="center"/>
          </w:tcPr>
          <w:p>
            <w:pPr>
              <w:pStyle w:val="TableContents"/>
              <w:bidi w:val="0"/>
              <w:spacing w:before="0" w:after="283"/>
              <w:jc w:val="right"/>
              <w:rPr/>
            </w:pPr>
            <w:r>
              <w:rPr/>
              <w:t>2</w:t>
            </w:r>
          </w:p>
        </w:tc>
        <w:tc>
          <w:tcPr>
            <w:tcW w:w="91" w:type="dxa"/>
            <w:tcBorders/>
            <w:shd w:fill="FFFFFF" w:val="clear"/>
            <w:vAlign w:val="center"/>
          </w:tcPr>
          <w:p>
            <w:pPr>
              <w:pStyle w:val="TableContents"/>
              <w:bidi w:val="0"/>
              <w:spacing w:before="0" w:after="283"/>
              <w:ind w:left="0" w:right="0" w:hanging="180"/>
              <w:jc w:val="left"/>
              <w:rPr/>
            </w:pPr>
            <w:r>
              <w:rPr/>
              <w:t> </w:t>
            </w:r>
            <w:bookmarkStart w:id="79" w:name="xdx_402_eus-gaap--AdditionalPaidInCapita"/>
            <w:bookmarkEnd w:id="79"/>
          </w:p>
        </w:tc>
      </w:tr>
      <w:tr>
        <w:trPr/>
        <w:tc>
          <w:tcPr>
            <w:tcW w:w="740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83,881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83,282</w:t>
            </w:r>
          </w:p>
        </w:tc>
        <w:tc>
          <w:tcPr>
            <w:tcW w:w="91" w:type="dxa"/>
            <w:tcBorders/>
            <w:shd w:fill="CCEEFF" w:val="clear"/>
            <w:vAlign w:val="center"/>
          </w:tcPr>
          <w:p>
            <w:pPr>
              <w:pStyle w:val="TableContents"/>
              <w:bidi w:val="0"/>
              <w:spacing w:before="0" w:after="283"/>
              <w:ind w:left="0" w:right="0" w:hanging="180"/>
              <w:jc w:val="left"/>
              <w:rPr/>
            </w:pPr>
            <w:r>
              <w:rPr/>
              <w:t> </w:t>
            </w:r>
            <w:bookmarkStart w:id="80" w:name="xdx_407_eus-gaap--RetainedEarningsAccumu"/>
            <w:bookmarkEnd w:id="80"/>
          </w:p>
        </w:tc>
      </w:tr>
      <w:tr>
        <w:trPr/>
        <w:tc>
          <w:tcPr>
            <w:tcW w:w="740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(62,971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(57,801</w:t>
            </w:r>
          </w:p>
        </w:tc>
        <w:tc>
          <w:tcPr>
            <w:tcW w:w="91" w:type="dxa"/>
            <w:tcBorders/>
            <w:shd w:fill="FFFFFF" w:val="clear"/>
            <w:vAlign w:val="center"/>
          </w:tcPr>
          <w:p>
            <w:pPr>
              <w:pStyle w:val="TableContents"/>
              <w:bidi w:val="0"/>
              <w:spacing w:before="0" w:after="283"/>
              <w:ind w:left="0" w:right="0" w:hanging="180"/>
              <w:jc w:val="left"/>
              <w:rPr/>
            </w:pPr>
            <w:r>
              <w:rPr/>
              <w:t>)</w:t>
            </w:r>
            <w:bookmarkStart w:id="81" w:name="xdx_408_eus-gaap--AccumulatedOtherCompre"/>
            <w:bookmarkEnd w:id="81"/>
          </w:p>
        </w:tc>
      </w:tr>
      <w:tr>
        <w:trPr/>
        <w:tc>
          <w:tcPr>
            <w:tcW w:w="7403"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91" w:type="dxa"/>
            <w:tcBorders/>
            <w:shd w:fill="CCEEFF" w:val="clear"/>
            <w:vAlign w:val="center"/>
          </w:tcPr>
          <w:p>
            <w:pPr>
              <w:pStyle w:val="TableContents"/>
              <w:bidi w:val="0"/>
              <w:spacing w:before="0" w:after="283"/>
              <w:ind w:left="0" w:right="0" w:hanging="180"/>
              <w:jc w:val="left"/>
              <w:rPr/>
            </w:pPr>
            <w:r>
              <w:rPr/>
              <w:t>)</w:t>
            </w:r>
            <w:bookmarkStart w:id="82" w:name="xdx_406_eus-gaap--StockholdersEquity_iTI"/>
            <w:bookmarkEnd w:id="82"/>
          </w:p>
        </w:tc>
      </w:tr>
      <w:tr>
        <w:trPr/>
        <w:tc>
          <w:tcPr>
            <w:tcW w:w="7403"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20,881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single" w:sz="8" w:space="0" w:color="000000"/>
            </w:tcBorders>
            <w:shd w:fill="FFFFFF" w:val="clear"/>
            <w:tcMar>
              <w:bottom w:w="28" w:type="dxa"/>
            </w:tcMar>
            <w:vAlign w:val="center"/>
          </w:tcPr>
          <w:p>
            <w:pPr>
              <w:pStyle w:val="TableContents"/>
              <w:bidi w:val="0"/>
              <w:spacing w:before="0" w:after="283"/>
              <w:jc w:val="right"/>
              <w:rPr/>
            </w:pPr>
            <w:r>
              <w:rPr/>
              <w:t>25,398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4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bookmarkStart w:id="83" w:name="xdx_403_eus-gaap--LiabilitiesAndStockhol"/>
            <w:bookmarkEnd w:id="83"/>
          </w:p>
        </w:tc>
      </w:tr>
      <w:tr>
        <w:trPr/>
        <w:tc>
          <w:tcPr>
            <w:tcW w:w="7403"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pPr>
            <w:r>
              <w:rPr/>
              <w:t>34,557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6" w:space="0" w:color="000000"/>
            </w:tcBorders>
            <w:shd w:fill="FFFFFF" w:val="clear"/>
            <w:tcMar>
              <w:bottom w:w="28" w:type="dxa"/>
            </w:tcMar>
            <w:vAlign w:val="center"/>
          </w:tcPr>
          <w:p>
            <w:pPr>
              <w:pStyle w:val="TableContents"/>
              <w:bidi w:val="0"/>
              <w:spacing w:before="0" w:after="283"/>
              <w:jc w:val="right"/>
              <w:rPr/>
            </w:pPr>
            <w:r>
              <w:rPr/>
              <w:t>36,581</w:t>
            </w:r>
          </w:p>
        </w:tc>
        <w:tc>
          <w:tcPr>
            <w:tcW w:w="9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4" w:name="a_004"/>
      <w:bookmarkEnd w:id="84"/>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5" w:name="xdx_304_113_pn3n3_zmNdGXklHkXg"/>
      <w:bookmarkStart w:id="86" w:name="xdx_304_113_pn3n3_zmNdGXklHkXg"/>
      <w:bookmarkEnd w:id="86"/>
    </w:p>
    <w:tbl>
      <w:tblPr>
        <w:tblW w:w="10205" w:type="dxa"/>
        <w:jc w:val="left"/>
        <w:tblInd w:w="0" w:type="dxa"/>
        <w:tblLayout w:type="fixed"/>
        <w:tblCellMar>
          <w:top w:w="0" w:type="dxa"/>
          <w:left w:w="0" w:type="dxa"/>
          <w:bottom w:w="0" w:type="dxa"/>
          <w:right w:w="0" w:type="dxa"/>
        </w:tblCellMar>
      </w:tblPr>
      <w:tblGrid>
        <w:gridCol w:w="5092"/>
        <w:gridCol w:w="60"/>
        <w:gridCol w:w="199"/>
        <w:gridCol w:w="1567"/>
        <w:gridCol w:w="95"/>
        <w:gridCol w:w="60"/>
        <w:gridCol w:w="175"/>
        <w:gridCol w:w="1227"/>
        <w:gridCol w:w="95"/>
        <w:gridCol w:w="60"/>
        <w:gridCol w:w="266"/>
        <w:gridCol w:w="1211"/>
        <w:gridCol w:w="98"/>
      </w:tblGrid>
      <w:tr>
        <w:trPr/>
        <w:tc>
          <w:tcPr>
            <w:tcW w:w="5092"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87" w:name="xdx_49B_20240101__20240331__srt--Stateme"/>
            <w:bookmarkEnd w:id="87"/>
          </w:p>
        </w:tc>
        <w:tc>
          <w:tcPr>
            <w:tcW w:w="1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88" w:name="xdx_49D_20230315__20230331__srt--Stateme"/>
            <w:bookmarkEnd w:id="88"/>
          </w:p>
        </w:tc>
        <w:tc>
          <w:tcPr>
            <w:tcW w:w="12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bookmarkStart w:id="89" w:name="xdx_49B_20230101__20230314__srt--Stateme"/>
            <w:bookmarkEnd w:id="89"/>
          </w:p>
        </w:tc>
        <w:tc>
          <w:tcPr>
            <w:tcW w:w="12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0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4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r>
          </w:p>
        </w:tc>
        <w:tc>
          <w:tcPr>
            <w:tcW w:w="98" w:type="dxa"/>
            <w:tcBorders/>
            <w:vAlign w:val="center"/>
          </w:tcPr>
          <w:p>
            <w:pPr>
              <w:pStyle w:val="TableContents"/>
              <w:bidi w:val="0"/>
              <w:spacing w:before="0" w:after="283"/>
              <w:ind w:left="0" w:right="0" w:hanging="180"/>
              <w:jc w:val="center"/>
              <w:rPr/>
            </w:pPr>
            <w:r>
              <w:rPr/>
              <w:t> </w:t>
            </w:r>
          </w:p>
        </w:tc>
      </w:tr>
      <w:tr>
        <w:trPr/>
        <w:tc>
          <w:tcPr>
            <w:tcW w:w="50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23" w:type="dxa"/>
            <w:gridSpan w:val="6"/>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477"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ind w:left="0" w:right="0" w:hanging="180"/>
              <w:jc w:val="center"/>
              <w:rPr/>
            </w:pPr>
            <w:r>
              <w:rPr/>
              <w:t> </w:t>
            </w:r>
          </w:p>
        </w:tc>
      </w:tr>
      <w:tr>
        <w:trPr/>
        <w:tc>
          <w:tcPr>
            <w:tcW w:w="50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2" w:type="dxa"/>
            <w:gridSpan w:val="2"/>
            <w:tcBorders>
              <w:bottom w:val="single" w:sz="8" w:space="0" w:color="000000"/>
            </w:tcBorders>
            <w:tcMar>
              <w:bottom w:w="28" w:type="dxa"/>
            </w:tcMar>
            <w:vAlign w:val="center"/>
          </w:tcPr>
          <w:p>
            <w:pPr>
              <w:pStyle w:val="TableContents"/>
              <w:bidi w:val="0"/>
              <w:jc w:val="center"/>
              <w:rPr>
                <w:b/>
              </w:rPr>
            </w:pPr>
            <w:r>
              <w:rPr>
                <w:b/>
              </w:rPr>
              <w:t>Period from</w:t>
              <w:br/>
              <w:t>March 15, 2023</w:t>
            </w:r>
          </w:p>
          <w:p>
            <w:pPr>
              <w:pStyle w:val="TableContents"/>
              <w:bidi w:val="0"/>
              <w:spacing w:before="0" w:after="283"/>
              <w:jc w:val="center"/>
              <w:rPr>
                <w:b/>
              </w:rPr>
            </w:pPr>
            <w:r>
              <w:rPr>
                <w:b/>
              </w:rPr>
              <w:t>to</w:t>
              <w:br/>
              <w:t>March 31,</w:t>
              <w:br/>
              <w:t>2023</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4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January 1, 2023</w:t>
              <w:br/>
              <w:t>to</w:t>
              <w:br/>
              <w:t>March 14,</w:t>
              <w:br/>
              <w:t>2023</w:t>
            </w:r>
          </w:p>
        </w:tc>
        <w:tc>
          <w:tcPr>
            <w:tcW w:w="98" w:type="dxa"/>
            <w:tcBorders/>
            <w:vAlign w:val="center"/>
          </w:tcPr>
          <w:p>
            <w:pPr>
              <w:pStyle w:val="TableContents"/>
              <w:bidi w:val="0"/>
              <w:spacing w:before="0" w:after="283"/>
              <w:ind w:left="0" w:right="0" w:hanging="180"/>
              <w:jc w:val="center"/>
              <w:rPr/>
            </w:pPr>
            <w:r>
              <w:rPr/>
              <w:t> </w:t>
            </w:r>
            <w:bookmarkStart w:id="90" w:name="xdx_40A_eus-gaap--Revenues_maCzzir_zKCIr"/>
            <w:bookmarkEnd w:id="90"/>
          </w:p>
        </w:tc>
      </w:tr>
      <w:tr>
        <w:trPr/>
        <w:tc>
          <w:tcPr>
            <w:tcW w:w="5092"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567" w:type="dxa"/>
            <w:tcBorders/>
            <w:shd w:fill="CCEEFF" w:val="clear"/>
            <w:vAlign w:val="center"/>
          </w:tcPr>
          <w:p>
            <w:pPr>
              <w:pStyle w:val="TableContents"/>
              <w:bidi w:val="0"/>
              <w:spacing w:before="0" w:after="283"/>
              <w:jc w:val="right"/>
              <w:rPr/>
            </w:pPr>
            <w:r>
              <w:rPr/>
              <w:t>1,818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342</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1,620</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0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bookmarkStart w:id="91" w:name="xdx_40B_eus-gaap--CostOfRevenue_msCzzir_"/>
            <w:bookmarkEnd w:id="91"/>
          </w:p>
        </w:tc>
      </w:tr>
      <w:tr>
        <w:trPr/>
        <w:tc>
          <w:tcPr>
            <w:tcW w:w="5092"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7" w:type="dxa"/>
            <w:tcBorders>
              <w:bottom w:val="single" w:sz="8" w:space="0" w:color="000000"/>
            </w:tcBorders>
            <w:shd w:fill="CCEEFF" w:val="clear"/>
            <w:tcMar>
              <w:bottom w:w="28" w:type="dxa"/>
            </w:tcM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pPr>
            <w:r>
              <w:rPr/>
              <w:t>483</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0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bookmarkStart w:id="92" w:name="xdx_409_eus-gaap--GrossProfit_iT_mtCzzir"/>
            <w:bookmarkEnd w:id="92"/>
          </w:p>
        </w:tc>
      </w:tr>
      <w:tr>
        <w:trPr/>
        <w:tc>
          <w:tcPr>
            <w:tcW w:w="5092"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67" w:type="dxa"/>
            <w:tcBorders/>
            <w:shd w:fill="CCEEFF" w:val="clear"/>
            <w:vAlign w:val="center"/>
          </w:tcPr>
          <w:p>
            <w:pPr>
              <w:pStyle w:val="TableContents"/>
              <w:bidi w:val="0"/>
              <w:spacing w:before="0" w:after="283"/>
              <w:jc w:val="right"/>
              <w:rPr/>
            </w:pPr>
            <w:r>
              <w:rPr/>
              <w:t>1,491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255</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1,137</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0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bookmarkStart w:id="93" w:name="xdx_40B_eus-gaap--OperatingExpensesAbstr"/>
            <w:bookmarkEnd w:id="93"/>
          </w:p>
        </w:tc>
      </w:tr>
      <w:tr>
        <w:trPr/>
        <w:tc>
          <w:tcPr>
            <w:tcW w:w="5092"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bookmarkStart w:id="94" w:name="xdx_400_eus-gaap--ResearchAndDevelopment"/>
            <w:bookmarkEnd w:id="94"/>
          </w:p>
        </w:tc>
      </w:tr>
      <w:tr>
        <w:trPr/>
        <w:tc>
          <w:tcPr>
            <w:tcW w:w="5092"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1,599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211</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1,455</w:t>
            </w:r>
          </w:p>
        </w:tc>
        <w:tc>
          <w:tcPr>
            <w:tcW w:w="98" w:type="dxa"/>
            <w:tcBorders/>
            <w:shd w:fill="FFFFFF" w:val="clear"/>
            <w:vAlign w:val="center"/>
          </w:tcPr>
          <w:p>
            <w:pPr>
              <w:pStyle w:val="TableContents"/>
              <w:bidi w:val="0"/>
              <w:spacing w:before="0" w:after="283"/>
              <w:ind w:left="0" w:right="0" w:hanging="180"/>
              <w:jc w:val="left"/>
              <w:rPr/>
            </w:pPr>
            <w:r>
              <w:rPr/>
              <w:t> </w:t>
            </w:r>
            <w:bookmarkStart w:id="95" w:name="xdx_403_eus-gaap--SellingAndMarketingExp"/>
            <w:bookmarkEnd w:id="95"/>
          </w:p>
        </w:tc>
      </w:tr>
      <w:tr>
        <w:trPr/>
        <w:tc>
          <w:tcPr>
            <w:tcW w:w="5092"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67" w:type="dxa"/>
            <w:tcBorders/>
            <w:shd w:fill="CCEEFF" w:val="clear"/>
            <w:vAlign w:val="center"/>
          </w:tcPr>
          <w:p>
            <w:pPr>
              <w:pStyle w:val="TableContents"/>
              <w:bidi w:val="0"/>
              <w:spacing w:before="0" w:after="283"/>
              <w:jc w:val="right"/>
              <w:rPr/>
            </w:pPr>
            <w:r>
              <w:rPr/>
              <w:t>1,114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964</w:t>
            </w:r>
          </w:p>
        </w:tc>
        <w:tc>
          <w:tcPr>
            <w:tcW w:w="98" w:type="dxa"/>
            <w:tcBorders/>
            <w:shd w:fill="CCEEFF" w:val="clear"/>
            <w:vAlign w:val="center"/>
          </w:tcPr>
          <w:p>
            <w:pPr>
              <w:pStyle w:val="TableContents"/>
              <w:bidi w:val="0"/>
              <w:spacing w:before="0" w:after="283"/>
              <w:ind w:left="0" w:right="0" w:hanging="180"/>
              <w:jc w:val="left"/>
              <w:rPr/>
            </w:pPr>
            <w:r>
              <w:rPr/>
              <w:t> </w:t>
            </w:r>
            <w:bookmarkStart w:id="96" w:name="xdx_408_eus-gaap--GeneralAndAdministrati"/>
            <w:bookmarkEnd w:id="96"/>
          </w:p>
        </w:tc>
      </w:tr>
      <w:tr>
        <w:trPr/>
        <w:tc>
          <w:tcPr>
            <w:tcW w:w="5092"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1,682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241</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2,293</w:t>
            </w:r>
          </w:p>
        </w:tc>
        <w:tc>
          <w:tcPr>
            <w:tcW w:w="98" w:type="dxa"/>
            <w:tcBorders/>
            <w:shd w:fill="FFFFFF" w:val="clear"/>
            <w:vAlign w:val="center"/>
          </w:tcPr>
          <w:p>
            <w:pPr>
              <w:pStyle w:val="TableContents"/>
              <w:bidi w:val="0"/>
              <w:spacing w:before="0" w:after="283"/>
              <w:ind w:left="0" w:right="0" w:hanging="180"/>
              <w:jc w:val="left"/>
              <w:rPr/>
            </w:pPr>
            <w:r>
              <w:rPr/>
              <w:t> </w:t>
            </w:r>
            <w:bookmarkStart w:id="97" w:name="xdx_40F_eus-gaap--AmortizationOfIntangib"/>
            <w:bookmarkEnd w:id="97"/>
          </w:p>
        </w:tc>
      </w:tr>
      <w:tr>
        <w:trPr/>
        <w:tc>
          <w:tcPr>
            <w:tcW w:w="5092"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7" w:type="dxa"/>
            <w:tcBorders>
              <w:bottom w:val="single" w:sz="8" w:space="0" w:color="000000"/>
            </w:tcBorders>
            <w:shd w:fill="CCEEFF" w:val="clear"/>
            <w:tcMar>
              <w:bottom w:w="28" w:type="dxa"/>
            </w:tcMar>
            <w:vAlign w:val="center"/>
          </w:tcPr>
          <w:p>
            <w:pPr>
              <w:pStyle w:val="TableContents"/>
              <w:bidi w:val="0"/>
              <w:spacing w:before="0" w:after="283"/>
              <w:jc w:val="right"/>
              <w:rPr/>
            </w:pPr>
            <w:r>
              <w:rPr/>
              <w:t>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116</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pPr>
            <w:r>
              <w:rPr/>
              <w:t>806</w:t>
            </w:r>
          </w:p>
        </w:tc>
        <w:tc>
          <w:tcPr>
            <w:tcW w:w="98" w:type="dxa"/>
            <w:tcBorders/>
            <w:shd w:fill="CCEEFF" w:val="clear"/>
            <w:vAlign w:val="center"/>
          </w:tcPr>
          <w:p>
            <w:pPr>
              <w:pStyle w:val="TableContents"/>
              <w:bidi w:val="0"/>
              <w:spacing w:before="0" w:after="283"/>
              <w:ind w:left="0" w:right="0" w:hanging="180"/>
              <w:jc w:val="left"/>
              <w:rPr/>
            </w:pPr>
            <w:r>
              <w:rPr/>
              <w:t> </w:t>
            </w:r>
            <w:bookmarkStart w:id="98" w:name="xdx_40F_eus-gaap--OperatingExpenses_i01T"/>
            <w:bookmarkEnd w:id="98"/>
          </w:p>
        </w:tc>
      </w:tr>
      <w:tr>
        <w:trPr/>
        <w:tc>
          <w:tcPr>
            <w:tcW w:w="5092"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5,078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742</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5,518</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0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bookmarkStart w:id="99" w:name="xdx_401_eus-gaap--OperatingIncomeLoss_i0"/>
            <w:bookmarkEnd w:id="99"/>
          </w:p>
        </w:tc>
      </w:tr>
      <w:tr>
        <w:trPr/>
        <w:tc>
          <w:tcPr>
            <w:tcW w:w="5092"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(3,587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(487</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(4,381</w:t>
            </w:r>
          </w:p>
        </w:tc>
        <w:tc>
          <w:tcPr>
            <w:tcW w:w="98" w:type="dxa"/>
            <w:tcBorders/>
            <w:shd w:fill="FFFFFF" w:val="clear"/>
            <w:vAlign w:val="center"/>
          </w:tcPr>
          <w:p>
            <w:pPr>
              <w:pStyle w:val="TableContents"/>
              <w:bidi w:val="0"/>
              <w:spacing w:before="0" w:after="283"/>
              <w:ind w:left="0" w:right="0" w:hanging="180"/>
              <w:jc w:val="left"/>
              <w:rPr/>
            </w:pPr>
            <w:r>
              <w:rPr/>
              <w:t>)</w:t>
            </w:r>
          </w:p>
        </w:tc>
      </w:tr>
      <w:tr>
        <w:trPr/>
        <w:tc>
          <w:tcPr>
            <w:tcW w:w="50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bookmarkStart w:id="100" w:name="xdx_409_eus-gaap--NonoperatingIncomeExpe"/>
            <w:bookmarkEnd w:id="100"/>
          </w:p>
        </w:tc>
      </w:tr>
      <w:tr>
        <w:trPr/>
        <w:tc>
          <w:tcPr>
            <w:tcW w:w="5092"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bookmarkStart w:id="101" w:name="xdx_409_eus-gaap--InterestIncomeExpenseN"/>
            <w:bookmarkEnd w:id="101"/>
          </w:p>
        </w:tc>
      </w:tr>
      <w:tr>
        <w:trPr/>
        <w:tc>
          <w:tcPr>
            <w:tcW w:w="5092" w:type="dxa"/>
            <w:tcBorders/>
            <w:shd w:fill="CCEEFF" w:val="clear"/>
            <w:vAlign w:val="center"/>
          </w:tcPr>
          <w:p>
            <w:pPr>
              <w:pStyle w:val="TableContents"/>
              <w:bidi w:val="0"/>
              <w:spacing w:before="0" w:after="283"/>
              <w:jc w:val="left"/>
              <w:rPr/>
            </w:pPr>
            <w:r>
              <w:rPr/>
              <w:t>Interest income (expense), net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67" w:type="dxa"/>
            <w:tcBorders/>
            <w:shd w:fill="CCEEFF" w:val="clear"/>
            <w:vAlign w:val="center"/>
          </w:tcPr>
          <w:p>
            <w:pPr>
              <w:pStyle w:val="TableContents"/>
              <w:bidi w:val="0"/>
              <w:spacing w:before="0" w:after="283"/>
              <w:jc w:val="right"/>
              <w:rPr/>
            </w:pPr>
            <w:r>
              <w:rPr/>
              <w:t>(262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w:t>
            </w:r>
          </w:p>
        </w:tc>
        <w:tc>
          <w:tcPr>
            <w:tcW w:w="98" w:type="dxa"/>
            <w:tcBorders/>
            <w:shd w:fill="CCEEFF" w:val="clear"/>
            <w:vAlign w:val="center"/>
          </w:tcPr>
          <w:p>
            <w:pPr>
              <w:pStyle w:val="TableContents"/>
              <w:bidi w:val="0"/>
              <w:spacing w:before="0" w:after="283"/>
              <w:ind w:left="0" w:right="0" w:hanging="180"/>
              <w:jc w:val="left"/>
              <w:rPr/>
            </w:pPr>
            <w:r>
              <w:rPr/>
              <w:t> </w:t>
            </w:r>
            <w:bookmarkStart w:id="102" w:name="xdx_40B_eus-gaap--GainLossOnSaleOfDeriva"/>
            <w:bookmarkEnd w:id="102"/>
          </w:p>
        </w:tc>
      </w:tr>
      <w:tr>
        <w:trPr/>
        <w:tc>
          <w:tcPr>
            <w:tcW w:w="5092"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(1,472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1,686</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ind w:left="0" w:right="0" w:hanging="180"/>
              <w:jc w:val="left"/>
              <w:rPr/>
            </w:pPr>
            <w:r>
              <w:rPr/>
              <w:t> </w:t>
            </w:r>
            <w:bookmarkStart w:id="103" w:name="xdx_401_eus-gaap--OtherNonoperatingIncom"/>
            <w:bookmarkEnd w:id="103"/>
          </w:p>
        </w:tc>
      </w:tr>
      <w:tr>
        <w:trPr/>
        <w:tc>
          <w:tcPr>
            <w:tcW w:w="5092"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7" w:type="dxa"/>
            <w:tcBorders>
              <w:bottom w:val="single" w:sz="8" w:space="0" w:color="000000"/>
            </w:tcBorders>
            <w:shd w:fill="CCEEFF" w:val="clear"/>
            <w:tcMar>
              <w:bottom w:w="28" w:type="dxa"/>
            </w:tcMar>
            <w:vAlign w:val="center"/>
          </w:tcPr>
          <w:p>
            <w:pPr>
              <w:pStyle w:val="TableContents"/>
              <w:bidi w:val="0"/>
              <w:spacing w:before="0" w:after="283"/>
              <w:jc w:val="right"/>
              <w:rPr/>
            </w:pPr>
            <w:r>
              <w:rPr/>
              <w:t>(56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bookmarkStart w:id="104" w:name="xdx_408_eus-gaap--NonoperatingIncomeExpe"/>
            <w:bookmarkEnd w:id="104"/>
          </w:p>
        </w:tc>
      </w:tr>
      <w:tr>
        <w:trPr/>
        <w:tc>
          <w:tcPr>
            <w:tcW w:w="5092" w:type="dxa"/>
            <w:tcBorders/>
            <w:shd w:fill="FFFFFF" w:val="clear"/>
            <w:vAlign w:val="center"/>
          </w:tcPr>
          <w:p>
            <w:pPr>
              <w:pStyle w:val="TableContents"/>
              <w:bidi w:val="0"/>
              <w:spacing w:before="0" w:after="283"/>
              <w:jc w:val="left"/>
              <w:rPr>
                <w:b/>
              </w:rPr>
            </w:pPr>
            <w:r>
              <w:rPr>
                <w:b/>
              </w:rPr>
              <w:t>Total Other Income (Expense)</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7" w:type="dxa"/>
            <w:tcBorders>
              <w:bottom w:val="single" w:sz="8" w:space="0" w:color="000000"/>
            </w:tcBorders>
            <w:shd w:fill="FFFFFF" w:val="clear"/>
            <w:tcMar>
              <w:bottom w:w="28" w:type="dxa"/>
            </w:tcMar>
            <w:vAlign w:val="center"/>
          </w:tcPr>
          <w:p>
            <w:pPr>
              <w:pStyle w:val="TableContents"/>
              <w:bidi w:val="0"/>
              <w:spacing w:before="0" w:after="283"/>
              <w:jc w:val="right"/>
              <w:rPr/>
            </w:pPr>
            <w:r>
              <w:rPr/>
              <w:t>(1,790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FFFFFF" w:val="clear"/>
            <w:tcMar>
              <w:bottom w:w="28" w:type="dxa"/>
            </w:tcMar>
            <w:vAlign w:val="center"/>
          </w:tcPr>
          <w:p>
            <w:pPr>
              <w:pStyle w:val="TableContents"/>
              <w:bidi w:val="0"/>
              <w:spacing w:before="0" w:after="283"/>
              <w:jc w:val="right"/>
              <w:rPr/>
            </w:pPr>
            <w:r>
              <w:rPr/>
              <w:t>1,685</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0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bookmarkStart w:id="105" w:name="xdx_40B_eus-gaap--IncomeLossFromContinui"/>
            <w:bookmarkEnd w:id="105"/>
          </w:p>
        </w:tc>
      </w:tr>
      <w:tr>
        <w:trPr/>
        <w:tc>
          <w:tcPr>
            <w:tcW w:w="5092" w:type="dxa"/>
            <w:tcBorders/>
            <w:shd w:fill="FFFFFF" w:val="clear"/>
            <w:vAlign w:val="center"/>
          </w:tcPr>
          <w:p>
            <w:pPr>
              <w:pStyle w:val="TableContents"/>
              <w:bidi w:val="0"/>
              <w:spacing w:before="0" w:after="283"/>
              <w:jc w:val="left"/>
              <w:rPr>
                <w:b/>
              </w:rPr>
            </w:pPr>
            <w:r>
              <w:rPr>
                <w:b/>
              </w:rPr>
              <w:t>Net Income (Loss), before tax</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(5,377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1,198</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(4,380</w:t>
            </w:r>
          </w:p>
        </w:tc>
        <w:tc>
          <w:tcPr>
            <w:tcW w:w="98" w:type="dxa"/>
            <w:tcBorders/>
            <w:shd w:fill="FFFFFF" w:val="clear"/>
            <w:vAlign w:val="center"/>
          </w:tcPr>
          <w:p>
            <w:pPr>
              <w:pStyle w:val="TableContents"/>
              <w:bidi w:val="0"/>
              <w:spacing w:before="0" w:after="283"/>
              <w:ind w:left="0" w:right="0" w:hanging="180"/>
              <w:jc w:val="left"/>
              <w:rPr/>
            </w:pPr>
            <w:r>
              <w:rPr/>
              <w:t>)</w:t>
            </w:r>
            <w:bookmarkStart w:id="106" w:name="xdx_409_eus-gaap--IncomeTaxExpenseBenefi"/>
            <w:bookmarkEnd w:id="106"/>
          </w:p>
        </w:tc>
      </w:tr>
      <w:tr>
        <w:trPr/>
        <w:tc>
          <w:tcPr>
            <w:tcW w:w="5092"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7" w:type="dxa"/>
            <w:tcBorders>
              <w:bottom w:val="single" w:sz="8" w:space="0" w:color="000000"/>
            </w:tcBorders>
            <w:shd w:fill="CCEEFF" w:val="clear"/>
            <w:tcMar>
              <w:bottom w:w="28" w:type="dxa"/>
            </w:tcMar>
            <w:vAlign w:val="center"/>
          </w:tcPr>
          <w:p>
            <w:pPr>
              <w:pStyle w:val="TableContents"/>
              <w:bidi w:val="0"/>
              <w:spacing w:before="0" w:after="283"/>
              <w:jc w:val="right"/>
              <w:rPr/>
            </w:pPr>
            <w:r>
              <w:rPr/>
              <w:t>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1,560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bookmarkStart w:id="107" w:name="xdx_407_eus-gaap--NetIncomeLoss_i01T_mtC"/>
            <w:bookmarkEnd w:id="107"/>
          </w:p>
        </w:tc>
      </w:tr>
      <w:tr>
        <w:trPr/>
        <w:tc>
          <w:tcPr>
            <w:tcW w:w="5092"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(5,170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1227" w:type="dxa"/>
            <w:tcBorders/>
            <w:shd w:fill="FFFFFF" w:val="clear"/>
            <w:vAlign w:val="center"/>
          </w:tcPr>
          <w:p>
            <w:pPr>
              <w:pStyle w:val="TableContents"/>
              <w:bidi w:val="0"/>
              <w:spacing w:before="0" w:after="283"/>
              <w:jc w:val="right"/>
              <w:rPr/>
            </w:pPr>
            <w:r>
              <w:rPr/>
              <w:t>2,758</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w:t>
            </w:r>
          </w:p>
        </w:tc>
        <w:tc>
          <w:tcPr>
            <w:tcW w:w="1211" w:type="dxa"/>
            <w:tcBorders/>
            <w:shd w:fill="FFFFFF" w:val="clear"/>
            <w:vAlign w:val="center"/>
          </w:tcPr>
          <w:p>
            <w:pPr>
              <w:pStyle w:val="TableContents"/>
              <w:bidi w:val="0"/>
              <w:spacing w:before="0" w:after="283"/>
              <w:jc w:val="right"/>
              <w:rPr/>
            </w:pPr>
            <w:r>
              <w:rPr/>
              <w:t>(4,380</w:t>
            </w:r>
          </w:p>
        </w:tc>
        <w:tc>
          <w:tcPr>
            <w:tcW w:w="98" w:type="dxa"/>
            <w:tcBorders/>
            <w:shd w:fill="FFFFFF" w:val="clear"/>
            <w:vAlign w:val="center"/>
          </w:tcPr>
          <w:p>
            <w:pPr>
              <w:pStyle w:val="TableContents"/>
              <w:bidi w:val="0"/>
              <w:spacing w:before="0" w:after="283"/>
              <w:ind w:left="0" w:right="0" w:hanging="180"/>
              <w:jc w:val="left"/>
              <w:rPr/>
            </w:pPr>
            <w:r>
              <w:rPr/>
              <w:t>)</w:t>
            </w:r>
            <w:bookmarkStart w:id="108" w:name="xdx_401_eus-gaap--OtherComprehensiveInco"/>
            <w:bookmarkEnd w:id="108"/>
          </w:p>
        </w:tc>
      </w:tr>
      <w:tr>
        <w:trPr/>
        <w:tc>
          <w:tcPr>
            <w:tcW w:w="5092" w:type="dxa"/>
            <w:tcBorders/>
            <w:shd w:fill="CCEEFF" w:val="clear"/>
            <w:vAlign w:val="center"/>
          </w:tcPr>
          <w:p>
            <w:pPr>
              <w:pStyle w:val="TableContents"/>
              <w:bidi w:val="0"/>
              <w:spacing w:before="0" w:after="283"/>
              <w:jc w:val="left"/>
              <w:rPr/>
            </w:pPr>
            <w:r>
              <w:rPr/>
              <w:t>Unrealized foreign exchange gain/(loss) from cumulative translation adjustments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7" w:type="dxa"/>
            <w:tcBorders>
              <w:bottom w:val="single" w:sz="8" w:space="0" w:color="000000"/>
            </w:tcBorders>
            <w:shd w:fill="CCEEFF" w:val="clear"/>
            <w:tcMar>
              <w:bottom w:w="28" w:type="dxa"/>
            </w:tcM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98" w:type="dxa"/>
            <w:tcBorders/>
            <w:shd w:fill="CCEEFF" w:val="clear"/>
            <w:vAlign w:val="center"/>
          </w:tcPr>
          <w:p>
            <w:pPr>
              <w:pStyle w:val="TableContents"/>
              <w:bidi w:val="0"/>
              <w:spacing w:before="0" w:after="283"/>
              <w:ind w:left="0" w:right="0" w:hanging="180"/>
              <w:jc w:val="left"/>
              <w:rPr/>
            </w:pPr>
            <w:r>
              <w:rPr/>
              <w:t>)</w:t>
            </w:r>
            <w:bookmarkStart w:id="109" w:name="xdx_40C_eus-gaap--ComprehensiveIncomeNet"/>
            <w:bookmarkEnd w:id="109"/>
          </w:p>
        </w:tc>
      </w:tr>
      <w:tr>
        <w:trPr/>
        <w:tc>
          <w:tcPr>
            <w:tcW w:w="5092" w:type="dxa"/>
            <w:tcBorders/>
            <w:shd w:fill="FFFFFF" w:val="clear"/>
            <w:vAlign w:val="center"/>
          </w:tcPr>
          <w:p>
            <w:pPr>
              <w:pStyle w:val="TableContents"/>
              <w:bidi w:val="0"/>
              <w:spacing w:before="0" w:after="283"/>
              <w:jc w:val="left"/>
              <w:rPr>
                <w:b/>
              </w:rPr>
            </w:pPr>
            <w:r>
              <w:rPr>
                <w:b/>
              </w:rPr>
              <w:t>Comprehensive Income (Loss)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7" w:type="dxa"/>
            <w:tcBorders>
              <w:bottom w:val="double" w:sz="6" w:space="0" w:color="000000"/>
            </w:tcBorders>
            <w:shd w:fill="FFFFFF" w:val="clear"/>
            <w:tcMar>
              <w:bottom w:w="28" w:type="dxa"/>
            </w:tcMar>
            <w:vAlign w:val="center"/>
          </w:tcPr>
          <w:p>
            <w:pPr>
              <w:pStyle w:val="TableContents"/>
              <w:bidi w:val="0"/>
              <w:spacing w:before="0" w:after="283"/>
              <w:jc w:val="right"/>
              <w:rPr/>
            </w:pPr>
            <w:r>
              <w:rPr/>
              <w:t>(5,116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7" w:type="dxa"/>
            <w:tcBorders>
              <w:bottom w:val="double" w:sz="6" w:space="0" w:color="000000"/>
            </w:tcBorders>
            <w:shd w:fill="FFFFFF" w:val="clear"/>
            <w:tcMar>
              <w:bottom w:w="28" w:type="dxa"/>
            </w:tcMar>
            <w:vAlign w:val="center"/>
          </w:tcPr>
          <w:p>
            <w:pPr>
              <w:pStyle w:val="TableContents"/>
              <w:bidi w:val="0"/>
              <w:spacing w:before="0" w:after="283"/>
              <w:jc w:val="right"/>
              <w:rPr/>
            </w:pPr>
            <w:r>
              <w:rPr/>
              <w:t>2,758</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FFFFFF" w:val="clear"/>
            <w:tcMar>
              <w:bottom w:w="28" w:type="dxa"/>
            </w:tcMar>
            <w:vAlign w:val="center"/>
          </w:tcPr>
          <w:p>
            <w:pPr>
              <w:pStyle w:val="TableContents"/>
              <w:bidi w:val="0"/>
              <w:spacing w:before="0" w:after="283"/>
              <w:jc w:val="right"/>
              <w:rPr/>
            </w:pPr>
            <w:r>
              <w:rPr/>
              <w:t>(4,408</w:t>
            </w:r>
          </w:p>
        </w:tc>
        <w:tc>
          <w:tcPr>
            <w:tcW w:w="98" w:type="dxa"/>
            <w:tcBorders/>
            <w:shd w:fill="FFFFFF" w:val="clear"/>
            <w:vAlign w:val="center"/>
          </w:tcPr>
          <w:p>
            <w:pPr>
              <w:pStyle w:val="TableContents"/>
              <w:bidi w:val="0"/>
              <w:spacing w:before="0" w:after="283"/>
              <w:ind w:left="0" w:right="0" w:hanging="180"/>
              <w:jc w:val="left"/>
              <w:rPr/>
            </w:pPr>
            <w:r>
              <w:rPr/>
              <w:t>)</w:t>
            </w:r>
          </w:p>
        </w:tc>
      </w:tr>
      <w:tr>
        <w:trPr/>
        <w:tc>
          <w:tcPr>
            <w:tcW w:w="50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5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092" w:type="dxa"/>
            <w:tcBorders/>
            <w:shd w:fill="FFFFFF" w:val="clear"/>
            <w:vAlign w:val="center"/>
          </w:tcPr>
          <w:p>
            <w:pPr>
              <w:pStyle w:val="TableContents"/>
              <w:bidi w:val="0"/>
              <w:spacing w:before="0" w:after="283"/>
              <w:jc w:val="left"/>
              <w:rPr/>
            </w:pPr>
            <w:r>
              <w:rPr/>
              <w:t>Basic and diluted weighted average shares outstanding, Class A common stock</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6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0" w:name="xdx_907_eus-gaap--WeightedAverageNumberO"/>
            <w:bookmarkStart w:id="111" w:name="xdx_908_eus-gaap--WeightedAverageNumberO"/>
            <w:bookmarkEnd w:id="110"/>
            <w:bookmarkEnd w:id="111"/>
            <w:r>
              <w:rPr/>
              <w:t>15,254,389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2" w:name="xdx_90D_eus-gaap--WeightedAverageNumberO"/>
            <w:bookmarkStart w:id="113" w:name="xdx_905_eus-gaap--WeightedAverageNumberO"/>
            <w:bookmarkEnd w:id="112"/>
            <w:bookmarkEnd w:id="113"/>
            <w:r>
              <w:rPr/>
              <w:t>8,582,699</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092" w:type="dxa"/>
            <w:tcBorders/>
            <w:shd w:fill="CCEEFF" w:val="clear"/>
            <w:vAlign w:val="center"/>
          </w:tcPr>
          <w:p>
            <w:pPr>
              <w:pStyle w:val="TableContents"/>
              <w:bidi w:val="0"/>
              <w:spacing w:before="0" w:after="283"/>
              <w:jc w:val="left"/>
              <w:rPr>
                <w:b/>
              </w:rPr>
            </w:pPr>
            <w:r>
              <w:rPr>
                <w:b/>
              </w:rPr>
              <w:t>Basic and diluted net income (loss) per share, Class A common stock</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4" w:name="xdx_903_eus-gaap--EarningsPerShareDilute"/>
            <w:bookmarkStart w:id="115" w:name="xdx_908_eus-gaap--EarningsPerShareBasic_"/>
            <w:bookmarkEnd w:id="114"/>
            <w:bookmarkEnd w:id="115"/>
            <w:r>
              <w:rPr/>
              <w:t>(0.34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6" w:name="xdx_906_eus-gaap--EarningsPerShareDilute"/>
            <w:bookmarkStart w:id="117" w:name="xdx_90F_eus-gaap--EarningsPerShareBasic_"/>
            <w:bookmarkEnd w:id="116"/>
            <w:bookmarkEnd w:id="117"/>
            <w:r>
              <w:rPr/>
              <w:t>0.20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0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5092" w:type="dxa"/>
            <w:tcBorders/>
            <w:shd w:fill="CCEEFF" w:val="clear"/>
            <w:vAlign w:val="center"/>
          </w:tcPr>
          <w:p>
            <w:pPr>
              <w:pStyle w:val="TableContents"/>
              <w:bidi w:val="0"/>
              <w:spacing w:before="0" w:after="283"/>
              <w:jc w:val="left"/>
              <w:rPr/>
            </w:pPr>
            <w:r>
              <w:rPr/>
              <w:t>Basic and diluted weighted average shares outstanding, Class C common stock</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6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 w:name="xdx_908_eus-gaap--WeightedAverageNumberO"/>
            <w:bookmarkStart w:id="119" w:name="xdx_904_eus-gaap--WeightedAverageNumberO"/>
            <w:bookmarkEnd w:id="118"/>
            <w:bookmarkEnd w:id="119"/>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0" w:name="xdx_90E_eus-gaap--WeightedAverageNumberO"/>
            <w:bookmarkStart w:id="121" w:name="xdx_902_eus-gaap--WeightedAverageNumberO"/>
            <w:bookmarkEnd w:id="120"/>
            <w:bookmarkEnd w:id="121"/>
            <w:r>
              <w:rPr/>
              <w:t>5,487,300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092" w:type="dxa"/>
            <w:tcBorders/>
            <w:shd w:fill="FFFFFF" w:val="clear"/>
            <w:vAlign w:val="center"/>
          </w:tcPr>
          <w:p>
            <w:pPr>
              <w:pStyle w:val="TableContents"/>
              <w:bidi w:val="0"/>
              <w:spacing w:before="0" w:after="283"/>
              <w:jc w:val="left"/>
              <w:rPr>
                <w:b/>
              </w:rPr>
            </w:pPr>
            <w:r>
              <w:rPr>
                <w:b/>
              </w:rPr>
              <w:t>Basic and diluted net income per share, Class C common stock</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2" w:name="xdx_909_eus-gaap--EarningsPerShareDilute"/>
            <w:bookmarkStart w:id="123" w:name="xdx_903_eus-gaap--EarningsPerShareBasic_"/>
            <w:bookmarkEnd w:id="122"/>
            <w:bookmarkEnd w:id="123"/>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4" w:name="xdx_904_eus-gaap--EarningsPerShareDilute"/>
            <w:bookmarkStart w:id="125" w:name="xdx_90D_eus-gaap--EarningsPerShareBasic_"/>
            <w:bookmarkEnd w:id="124"/>
            <w:bookmarkEnd w:id="125"/>
            <w:r>
              <w:rPr/>
              <w:t>0.20</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6" w:name="a_005"/>
      <w:bookmarkEnd w:id="126"/>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127" w:name="xdx_301_114_pn3n3_zwl8DCBXyQo2"/>
      <w:bookmarkStart w:id="128" w:name="xdx_301_114_pn3n3_zwl8DCBXyQo2"/>
      <w:bookmarkEnd w:id="128"/>
    </w:p>
    <w:tbl>
      <w:tblPr>
        <w:tblW w:w="9185" w:type="dxa"/>
        <w:jc w:val="left"/>
        <w:tblInd w:w="0" w:type="dxa"/>
        <w:tblLayout w:type="fixed"/>
        <w:tblCellMar>
          <w:top w:w="0" w:type="dxa"/>
          <w:left w:w="0" w:type="dxa"/>
          <w:bottom w:w="0" w:type="dxa"/>
          <w:right w:w="0" w:type="dxa"/>
        </w:tblCellMar>
      </w:tblPr>
      <w:tblGrid>
        <w:gridCol w:w="4610"/>
        <w:gridCol w:w="60"/>
        <w:gridCol w:w="190"/>
        <w:gridCol w:w="925"/>
        <w:gridCol w:w="95"/>
        <w:gridCol w:w="60"/>
        <w:gridCol w:w="307"/>
        <w:gridCol w:w="1228"/>
        <w:gridCol w:w="95"/>
        <w:gridCol w:w="60"/>
        <w:gridCol w:w="246"/>
        <w:gridCol w:w="1199"/>
        <w:gridCol w:w="110"/>
      </w:tblGrid>
      <w:tr>
        <w:trPr/>
        <w:tc>
          <w:tcPr>
            <w:tcW w:w="461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129" w:name="xdx_4B4_us-gaap--StatementEquityComponen"/>
            <w:bookmarkEnd w:id="129"/>
          </w:p>
        </w:tc>
        <w:tc>
          <w:tcPr>
            <w:tcW w:w="9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130" w:name="xdx_4B4_us-gaap--StatementEquityComponen"/>
            <w:bookmarkEnd w:id="130"/>
          </w:p>
        </w:tc>
        <w:tc>
          <w:tcPr>
            <w:tcW w:w="12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131" w:name="xdx_4B3_us-gaap--StatementEquityComponen"/>
            <w:bookmarkEnd w:id="131"/>
          </w:p>
        </w:tc>
        <w:tc>
          <w:tcPr>
            <w:tcW w:w="119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9185" w:type="dxa"/>
            <w:gridSpan w:val="13"/>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Predecessor</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parent</w:t>
              <w:br/>
              <w:t>investment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w:t>
              <w:br/>
              <w:t>other</w:t>
              <w:br/>
              <w:t>comprehensive</w:t>
              <w:br/>
              <w:t>income (loss)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Shareholders’</w:t>
              <w:br/>
              <w:t>Equity</w:t>
            </w:r>
          </w:p>
        </w:tc>
        <w:tc>
          <w:tcPr>
            <w:tcW w:w="110" w:type="dxa"/>
            <w:tcBorders/>
            <w:vAlign w:val="center"/>
          </w:tcPr>
          <w:p>
            <w:pPr>
              <w:pStyle w:val="TableContents"/>
              <w:bidi w:val="0"/>
              <w:spacing w:before="0" w:after="283"/>
              <w:ind w:left="0" w:right="0" w:hanging="180"/>
              <w:jc w:val="center"/>
              <w:rPr/>
            </w:pPr>
            <w:r>
              <w:rPr/>
              <w:t> </w:t>
            </w:r>
            <w:bookmarkStart w:id="132" w:name="xdx_439_c20230101__20230314_eus-gaap--St"/>
            <w:bookmarkEnd w:id="132"/>
          </w:p>
        </w:tc>
      </w:tr>
      <w:tr>
        <w:trPr/>
        <w:tc>
          <w:tcPr>
            <w:tcW w:w="4610" w:type="dxa"/>
            <w:tcBorders/>
            <w:shd w:fill="CCEEFF" w:val="clear"/>
            <w:vAlign w:val="center"/>
          </w:tcPr>
          <w:p>
            <w:pPr>
              <w:pStyle w:val="TableContents"/>
              <w:bidi w:val="0"/>
              <w:spacing w:before="0" w:after="283"/>
              <w:jc w:val="left"/>
              <w:rPr>
                <w:b/>
              </w:rPr>
            </w:pPr>
            <w:r>
              <w:rPr>
                <w:b/>
              </w:rPr>
              <w:t>Balance at January 1, 2023</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22,236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23,391</w:t>
            </w:r>
          </w:p>
        </w:tc>
        <w:tc>
          <w:tcPr>
            <w:tcW w:w="110" w:type="dxa"/>
            <w:tcBorders/>
            <w:shd w:fill="CCEEFF" w:val="clear"/>
            <w:vAlign w:val="center"/>
          </w:tcPr>
          <w:p>
            <w:pPr>
              <w:pStyle w:val="TableContents"/>
              <w:bidi w:val="0"/>
              <w:spacing w:before="0" w:after="283"/>
              <w:ind w:left="0" w:right="0" w:hanging="180"/>
              <w:jc w:val="left"/>
              <w:rPr/>
            </w:pPr>
            <w:r>
              <w:rPr/>
              <w:t> </w:t>
            </w:r>
            <w:bookmarkStart w:id="133" w:name="xdx_406_eus-gaap--NetIncomeLoss_i_pn3n3"/>
            <w:bookmarkEnd w:id="133"/>
          </w:p>
        </w:tc>
      </w:tr>
      <w:tr>
        <w:trPr/>
        <w:tc>
          <w:tcPr>
            <w:tcW w:w="46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(4,380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(4,380</w:t>
            </w:r>
          </w:p>
        </w:tc>
        <w:tc>
          <w:tcPr>
            <w:tcW w:w="110" w:type="dxa"/>
            <w:tcBorders/>
            <w:shd w:fill="FFFFFF" w:val="clear"/>
            <w:vAlign w:val="center"/>
          </w:tcPr>
          <w:p>
            <w:pPr>
              <w:pStyle w:val="TableContents"/>
              <w:bidi w:val="0"/>
              <w:spacing w:before="0" w:after="283"/>
              <w:ind w:left="0" w:right="0" w:hanging="180"/>
              <w:jc w:val="left"/>
              <w:rPr/>
            </w:pPr>
            <w:r>
              <w:rPr/>
              <w:t>)</w:t>
            </w:r>
            <w:bookmarkStart w:id="134" w:name="xdx_403_ecustom--StockbasedCompensationA"/>
            <w:bookmarkEnd w:id="134"/>
          </w:p>
        </w:tc>
      </w:tr>
      <w:tr>
        <w:trPr/>
        <w:tc>
          <w:tcPr>
            <w:tcW w:w="4610" w:type="dxa"/>
            <w:tcBorders/>
            <w:shd w:fill="CCEEFF" w:val="clear"/>
            <w:vAlign w:val="center"/>
          </w:tcPr>
          <w:p>
            <w:pPr>
              <w:pStyle w:val="TableContents"/>
              <w:bidi w:val="0"/>
              <w:spacing w:before="0" w:after="283"/>
              <w:jc w:val="left"/>
              <w:rPr/>
            </w:pPr>
            <w:r>
              <w:rPr/>
              <w:t>Stock-based compensation allocated from parent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158</w:t>
            </w:r>
          </w:p>
        </w:tc>
        <w:tc>
          <w:tcPr>
            <w:tcW w:w="110" w:type="dxa"/>
            <w:tcBorders/>
            <w:shd w:fill="CCEEFF" w:val="clear"/>
            <w:vAlign w:val="center"/>
          </w:tcPr>
          <w:p>
            <w:pPr>
              <w:pStyle w:val="TableContents"/>
              <w:bidi w:val="0"/>
              <w:spacing w:before="0" w:after="283"/>
              <w:ind w:left="0" w:right="0" w:hanging="180"/>
              <w:jc w:val="left"/>
              <w:rPr/>
            </w:pPr>
            <w:r>
              <w:rPr/>
              <w:t> </w:t>
            </w:r>
            <w:bookmarkStart w:id="135" w:name="xdx_401_ecustom--NetInvestmentsFromParen"/>
            <w:bookmarkEnd w:id="135"/>
          </w:p>
        </w:tc>
      </w:tr>
      <w:tr>
        <w:trPr/>
        <w:tc>
          <w:tcPr>
            <w:tcW w:w="4610" w:type="dxa"/>
            <w:tcBorders/>
            <w:shd w:fill="FFFFFF" w:val="clear"/>
            <w:vAlign w:val="center"/>
          </w:tcPr>
          <w:p>
            <w:pPr>
              <w:pStyle w:val="TableContents"/>
              <w:bidi w:val="0"/>
              <w:spacing w:before="0" w:after="283"/>
              <w:jc w:val="left"/>
              <w:rPr/>
            </w:pPr>
            <w:r>
              <w:rPr/>
              <w:t>Net investment from parent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8,680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8,680</w:t>
            </w:r>
          </w:p>
        </w:tc>
        <w:tc>
          <w:tcPr>
            <w:tcW w:w="110" w:type="dxa"/>
            <w:tcBorders/>
            <w:shd w:fill="FFFFFF" w:val="clear"/>
            <w:vAlign w:val="center"/>
          </w:tcPr>
          <w:p>
            <w:pPr>
              <w:pStyle w:val="TableContents"/>
              <w:bidi w:val="0"/>
              <w:spacing w:before="0" w:after="283"/>
              <w:ind w:left="0" w:right="0" w:hanging="180"/>
              <w:jc w:val="left"/>
              <w:rPr/>
            </w:pPr>
            <w:r>
              <w:rPr/>
              <w:t> </w:t>
            </w:r>
            <w:bookmarkStart w:id="136" w:name="xdx_40F_ecustom--CumulativeTranslationAd"/>
            <w:bookmarkEnd w:id="136"/>
          </w:p>
        </w:tc>
      </w:tr>
      <w:tr>
        <w:trPr/>
        <w:tc>
          <w:tcPr>
            <w:tcW w:w="4610"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ind w:left="0" w:right="0" w:hanging="180"/>
              <w:jc w:val="left"/>
              <w:rPr/>
            </w:pPr>
            <w:r>
              <w:rPr/>
              <w:t>)</w:t>
            </w:r>
            <w:bookmarkStart w:id="137" w:name="xdx_439_c20230101__20230314_eus-gaap--St"/>
            <w:bookmarkEnd w:id="137"/>
          </w:p>
        </w:tc>
      </w:tr>
      <w:tr>
        <w:trPr/>
        <w:tc>
          <w:tcPr>
            <w:tcW w:w="4610" w:type="dxa"/>
            <w:tcBorders/>
            <w:shd w:fill="FFFFFF" w:val="clear"/>
            <w:vAlign w:val="center"/>
          </w:tcPr>
          <w:p>
            <w:pPr>
              <w:pStyle w:val="TableContents"/>
              <w:bidi w:val="0"/>
              <w:spacing w:before="0" w:after="283"/>
              <w:jc w:val="left"/>
              <w:rPr>
                <w:b/>
              </w:rPr>
            </w:pPr>
            <w:r>
              <w:rPr>
                <w:b/>
              </w:rPr>
              <w:t>Balance at March 14, 2023</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jc w:val="right"/>
              <w:rPr/>
            </w:pPr>
            <w:r>
              <w:rPr/>
              <w:t>26,694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8" w:type="dxa"/>
            <w:tcBorders>
              <w:bottom w:val="double" w:sz="6" w:space="0" w:color="000000"/>
            </w:tcBorders>
            <w:shd w:fill="FFFFFF" w:val="clear"/>
            <w:tcMar>
              <w:bottom w:w="28" w:type="dxa"/>
            </w:tcMar>
            <w:vAlign w:val="center"/>
          </w:tcPr>
          <w:p>
            <w:pPr>
              <w:pStyle w:val="TableContents"/>
              <w:bidi w:val="0"/>
              <w:spacing w:before="0" w:after="283"/>
              <w:jc w:val="right"/>
              <w:rPr/>
            </w:pPr>
            <w:r>
              <w:rPr/>
              <w:t>1,127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FFFFFF" w:val="clear"/>
            <w:tcMar>
              <w:bottom w:w="28" w:type="dxa"/>
            </w:tcMar>
            <w:vAlign w:val="center"/>
          </w:tcPr>
          <w:p>
            <w:pPr>
              <w:pStyle w:val="TableContents"/>
              <w:bidi w:val="0"/>
              <w:spacing w:before="0" w:after="283"/>
              <w:jc w:val="right"/>
              <w:rPr/>
            </w:pPr>
            <w:r>
              <w:rPr/>
              <w:t>27,821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1890" w:type="dxa"/>
        <w:jc w:val="left"/>
        <w:tblInd w:w="0" w:type="dxa"/>
        <w:tblLayout w:type="fixed"/>
        <w:tblCellMar>
          <w:top w:w="0" w:type="dxa"/>
          <w:left w:w="0" w:type="dxa"/>
          <w:bottom w:w="0" w:type="dxa"/>
          <w:right w:w="0" w:type="dxa"/>
        </w:tblCellMar>
      </w:tblPr>
      <w:tblGrid>
        <w:gridCol w:w="1430"/>
        <w:gridCol w:w="60"/>
        <w:gridCol w:w="60"/>
        <w:gridCol w:w="1100"/>
        <w:gridCol w:w="60"/>
        <w:gridCol w:w="60"/>
        <w:gridCol w:w="430"/>
        <w:gridCol w:w="430"/>
        <w:gridCol w:w="60"/>
        <w:gridCol w:w="60"/>
        <w:gridCol w:w="60"/>
        <w:gridCol w:w="980"/>
        <w:gridCol w:w="60"/>
        <w:gridCol w:w="60"/>
        <w:gridCol w:w="430"/>
        <w:gridCol w:w="430"/>
        <w:gridCol w:w="60"/>
        <w:gridCol w:w="60"/>
        <w:gridCol w:w="187"/>
        <w:gridCol w:w="913"/>
        <w:gridCol w:w="60"/>
        <w:gridCol w:w="60"/>
        <w:gridCol w:w="214"/>
        <w:gridCol w:w="1156"/>
        <w:gridCol w:w="95"/>
        <w:gridCol w:w="60"/>
        <w:gridCol w:w="474"/>
        <w:gridCol w:w="1136"/>
        <w:gridCol w:w="95"/>
        <w:gridCol w:w="60"/>
        <w:gridCol w:w="241"/>
        <w:gridCol w:w="1174"/>
        <w:gridCol w:w="75"/>
      </w:tblGrid>
      <w:tr>
        <w:trPr/>
        <w:tc>
          <w:tcPr>
            <w:tcW w:w="143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bookmarkStart w:id="138" w:name="xdx_4B3_us-gaap--StatementEquityComponen"/>
            <w:bookmarkEnd w:id="138"/>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bookmarkStart w:id="139" w:name="xdx_4B2_us-gaap--StatementEquityComponen"/>
            <w:bookmarkEnd w:id="139"/>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bookmarkStart w:id="140" w:name="xdx_4BD_us-gaap--StatementEquityComponen"/>
            <w:bookmarkEnd w:id="140"/>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141" w:name="xdx_4BE_us-gaap--StatementEquityComponen"/>
            <w:bookmarkEnd w:id="141"/>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bookmarkStart w:id="142" w:name="xdx_4BB_us-gaap--StatementEquityComponen"/>
            <w:bookmarkEnd w:id="142"/>
          </w:p>
        </w:tc>
        <w:tc>
          <w:tcPr>
            <w:tcW w:w="11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bookmarkStart w:id="143" w:name="xdx_4BB_us-gaap--StatementEquityComponen"/>
            <w:bookmarkEnd w:id="143"/>
          </w:p>
        </w:tc>
        <w:tc>
          <w:tcPr>
            <w:tcW w:w="11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1890" w:type="dxa"/>
            <w:gridSpan w:val="33"/>
            <w:tcBorders>
              <w:bottom w:val="single" w:sz="8" w:space="0" w:color="000000"/>
            </w:tcBorders>
            <w:tcMar>
              <w:bottom w:w="28" w:type="dxa"/>
            </w:tcMar>
            <w:vAlign w:val="center"/>
          </w:tcPr>
          <w:p>
            <w:pPr>
              <w:pStyle w:val="TableContents"/>
              <w:bidi w:val="0"/>
              <w:spacing w:before="0" w:after="283"/>
              <w:jc w:val="center"/>
              <w:rPr>
                <w:b/>
              </w:rPr>
            </w:pPr>
            <w:r>
              <w:rPr>
                <w:b/>
              </w:rPr>
              <w:t>Successor</w:t>
            </w:r>
          </w:p>
        </w:tc>
      </w:tr>
      <w:tr>
        <w:trPr/>
        <w:tc>
          <w:tcPr>
            <w:tcW w:w="11890" w:type="dxa"/>
            <w:gridSpan w:val="33"/>
            <w:tcBorders/>
            <w:vAlign w:val="center"/>
          </w:tcPr>
          <w:p>
            <w:pPr>
              <w:pStyle w:val="TableContents"/>
              <w:bidi w:val="0"/>
              <w:spacing w:before="0" w:after="283"/>
              <w:ind w:left="0" w:right="0" w:hanging="180"/>
              <w:jc w:val="center"/>
              <w:rPr/>
            </w:pPr>
            <w:r>
              <w:rPr/>
              <w:t>(unaudited)</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b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C</w:t>
              <w:b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center"/>
              <w:rPr/>
            </w:pPr>
            <w:r>
              <w:rPr>
                <w:b/>
              </w:rPr>
              <w:t>Accumulated</w:t>
              <w:br/>
              <w:t>Other</w:t>
              <w:br/>
              <w:t>Comprehensive</w:t>
              <w:br/>
              <w:t>Income</w:t>
            </w:r>
            <w:r>
              <w:rPr/>
              <w:t xml:space="preserve">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b/>
              </w:rPr>
            </w:pPr>
            <w:r>
              <w:rPr>
                <w:b/>
              </w:rPr>
              <w:t>Total</w:t>
              <w:br/>
              <w:t>Stockholders’</w:t>
              <w:br/>
              <w:t>Equity</w:t>
            </w:r>
          </w:p>
        </w:tc>
        <w:tc>
          <w:tcPr>
            <w:tcW w:w="75" w:type="dxa"/>
            <w:tcBorders/>
            <w:vAlign w:val="center"/>
          </w:tcPr>
          <w:p>
            <w:pPr>
              <w:pStyle w:val="TableContents"/>
              <w:bidi w:val="0"/>
              <w:spacing w:before="0" w:after="283"/>
              <w:ind w:left="0" w:right="0" w:hanging="180"/>
              <w:jc w:val="center"/>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75" w:type="dxa"/>
            <w:tcBorders/>
            <w:vAlign w:val="center"/>
          </w:tcPr>
          <w:p>
            <w:pPr>
              <w:pStyle w:val="TableContents"/>
              <w:bidi w:val="0"/>
              <w:spacing w:before="0" w:after="283"/>
              <w:ind w:left="0" w:right="0" w:hanging="180"/>
              <w:jc w:val="center"/>
              <w:rPr/>
            </w:pPr>
            <w:r>
              <w:rPr/>
              <w:t> </w:t>
            </w:r>
            <w:bookmarkStart w:id="144" w:name="xdx_436_c20230315__20230331_eus-gaap--St"/>
            <w:bookmarkEnd w:id="144"/>
          </w:p>
        </w:tc>
      </w:tr>
      <w:tr>
        <w:trPr/>
        <w:tc>
          <w:tcPr>
            <w:tcW w:w="1430" w:type="dxa"/>
            <w:tcBorders/>
            <w:shd w:fill="CCEEFF" w:val="clear"/>
            <w:vAlign w:val="center"/>
          </w:tcPr>
          <w:p>
            <w:pPr>
              <w:pStyle w:val="TableContents"/>
              <w:bidi w:val="0"/>
              <w:spacing w:before="0" w:after="283"/>
              <w:jc w:val="left"/>
              <w:rPr>
                <w:b/>
              </w:rPr>
            </w:pPr>
            <w:r>
              <w:rPr>
                <w:b/>
              </w:rPr>
              <w:t>Balance at March 15,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5" w:name="xdx_984_eus-gaap--SharesOutstanding_iS_p"/>
            <w:bookmarkEnd w:id="145"/>
          </w:p>
        </w:tc>
        <w:tc>
          <w:tcPr>
            <w:tcW w:w="1100" w:type="dxa"/>
            <w:tcBorders/>
            <w:shd w:fill="CCEEFF" w:val="clear"/>
            <w:vAlign w:val="center"/>
          </w:tcPr>
          <w:p>
            <w:pPr>
              <w:pStyle w:val="TableContents"/>
              <w:bidi w:val="0"/>
              <w:spacing w:before="0" w:after="283"/>
              <w:jc w:val="right"/>
              <w:rPr/>
            </w:pPr>
            <w:r>
              <w:rPr/>
              <w:t>7,034,999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 w:name="xdx_980_eus-gaap--SharesOutstanding_iS_p"/>
            <w:bookmarkEnd w:id="146"/>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1,607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(8,563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(6,955</w:t>
            </w:r>
          </w:p>
        </w:tc>
        <w:tc>
          <w:tcPr>
            <w:tcW w:w="75" w:type="dxa"/>
            <w:tcBorders/>
            <w:shd w:fill="CCEEFF" w:val="clear"/>
            <w:vAlign w:val="center"/>
          </w:tcPr>
          <w:p>
            <w:pPr>
              <w:pStyle w:val="TableContents"/>
              <w:bidi w:val="0"/>
              <w:spacing w:before="0" w:after="283"/>
              <w:ind w:left="0" w:right="0" w:hanging="180"/>
              <w:jc w:val="left"/>
              <w:rPr/>
            </w:pPr>
            <w:r>
              <w:rPr/>
              <w:t>)</w:t>
            </w:r>
            <w:bookmarkStart w:id="147" w:name="xdx_405_ecustom--SharesIssuedInConnectio"/>
            <w:bookmarkEnd w:id="147"/>
          </w:p>
        </w:tc>
      </w:tr>
      <w:tr>
        <w:trPr/>
        <w:tc>
          <w:tcPr>
            <w:tcW w:w="1430" w:type="dxa"/>
            <w:tcBorders/>
            <w:shd w:fill="FFFFFF" w:val="clear"/>
            <w:vAlign w:val="center"/>
          </w:tcPr>
          <w:p>
            <w:pPr>
              <w:pStyle w:val="TableContents"/>
              <w:bidi w:val="0"/>
              <w:spacing w:before="0" w:after="283"/>
              <w:jc w:val="left"/>
              <w:rPr/>
            </w:pPr>
            <w:r>
              <w:rPr/>
              <w:t>Shares issued in connection with Business Combination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8" w:name="xdx_98E_ecustom--SharesIssuedInConnectio"/>
            <w:bookmarkEnd w:id="148"/>
          </w:p>
        </w:tc>
        <w:tc>
          <w:tcPr>
            <w:tcW w:w="1100" w:type="dxa"/>
            <w:tcBorders/>
            <w:shd w:fill="FFFFFF" w:val="clear"/>
            <w:vAlign w:val="center"/>
          </w:tcPr>
          <w:p>
            <w:pPr>
              <w:pStyle w:val="TableContents"/>
              <w:bidi w:val="0"/>
              <w:spacing w:before="0" w:after="283"/>
              <w:jc w:val="right"/>
              <w:rPr/>
            </w:pPr>
            <w:r>
              <w:rPr/>
              <w:t>1,547,700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9" w:name="xdx_986_ecustom--SharesIssuedInConnectio"/>
            <w:bookmarkEnd w:id="149"/>
          </w:p>
        </w:tc>
        <w:tc>
          <w:tcPr>
            <w:tcW w:w="980" w:type="dxa"/>
            <w:tcBorders/>
            <w:shd w:fill="FFFFFF" w:val="clear"/>
            <w:vAlign w:val="center"/>
          </w:tcPr>
          <w:p>
            <w:pPr>
              <w:pStyle w:val="TableContents"/>
              <w:bidi w:val="0"/>
              <w:spacing w:before="0" w:after="283"/>
              <w:jc w:val="right"/>
              <w:rPr/>
            </w:pPr>
            <w:r>
              <w:rPr/>
              <w:t>5,487,300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69,927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69,928</w:t>
            </w:r>
          </w:p>
        </w:tc>
        <w:tc>
          <w:tcPr>
            <w:tcW w:w="75" w:type="dxa"/>
            <w:tcBorders/>
            <w:shd w:fill="FFFFFF" w:val="clear"/>
            <w:vAlign w:val="center"/>
          </w:tcPr>
          <w:p>
            <w:pPr>
              <w:pStyle w:val="TableContents"/>
              <w:bidi w:val="0"/>
              <w:spacing w:before="0" w:after="283"/>
              <w:ind w:left="0" w:right="0" w:hanging="180"/>
              <w:jc w:val="left"/>
              <w:rPr/>
            </w:pPr>
            <w:r>
              <w:rPr/>
              <w:t> </w:t>
            </w:r>
            <w:bookmarkStart w:id="150" w:name="xdx_40D_eus-gaap--NetIncomeLoss_zfXYlmuy"/>
            <w:bookmarkEnd w:id="150"/>
          </w:p>
        </w:tc>
      </w:tr>
      <w:tr>
        <w:trPr/>
        <w:tc>
          <w:tcPr>
            <w:tcW w:w="143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2,758</w:t>
            </w:r>
          </w:p>
        </w:tc>
        <w:tc>
          <w:tcPr>
            <w:tcW w:w="75" w:type="dxa"/>
            <w:tcBorders/>
            <w:shd w:fill="CCEEFF" w:val="clear"/>
            <w:vAlign w:val="center"/>
          </w:tcPr>
          <w:p>
            <w:pPr>
              <w:pStyle w:val="TableContents"/>
              <w:bidi w:val="0"/>
              <w:spacing w:before="0" w:after="283"/>
              <w:ind w:left="0" w:right="0" w:hanging="180"/>
              <w:jc w:val="left"/>
              <w:rPr/>
            </w:pPr>
            <w:r>
              <w:rPr/>
              <w:t> </w:t>
            </w:r>
            <w:bookmarkStart w:id="151" w:name="xdx_40C_eus-gaap--ShareBasedCompensation"/>
            <w:bookmarkEnd w:id="151"/>
          </w:p>
        </w:tc>
      </w:tr>
      <w:tr>
        <w:trPr/>
        <w:tc>
          <w:tcPr>
            <w:tcW w:w="143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ind w:left="0" w:right="0" w:hanging="180"/>
              <w:jc w:val="left"/>
              <w:rPr/>
            </w:pPr>
            <w:r>
              <w:rPr/>
              <w:t> </w:t>
            </w:r>
            <w:bookmarkStart w:id="152" w:name="xdx_43C_c20230315__20230331_eus-gaap--St"/>
            <w:bookmarkEnd w:id="152"/>
          </w:p>
        </w:tc>
      </w:tr>
      <w:tr>
        <w:trPr/>
        <w:tc>
          <w:tcPr>
            <w:tcW w:w="1430" w:type="dxa"/>
            <w:tcBorders/>
            <w:shd w:fill="CCEEFF" w:val="clear"/>
            <w:vAlign w:val="center"/>
          </w:tcPr>
          <w:p>
            <w:pPr>
              <w:pStyle w:val="TableContents"/>
              <w:bidi w:val="0"/>
              <w:spacing w:before="0" w:after="283"/>
              <w:jc w:val="left"/>
              <w:rPr>
                <w:b/>
              </w:rPr>
            </w:pPr>
            <w:r>
              <w:rPr>
                <w:b/>
              </w:rPr>
              <w:t>Balance 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3" w:name="xdx_980_eus-gaap--SharesOutstanding_iE_p"/>
            <w:bookmarkEnd w:id="15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8,582,699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4" w:name="xdx_983_eus-gaap--SharesOutstanding_iE_p"/>
            <w:bookmarkEnd w:id="15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5,487,300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71,536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(5,805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65,733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bookmarkStart w:id="155" w:name="xdx_43B_c20240101__20240331_eus-gaap--St"/>
            <w:bookmarkEnd w:id="155"/>
          </w:p>
        </w:tc>
      </w:tr>
      <w:tr>
        <w:trPr/>
        <w:tc>
          <w:tcPr>
            <w:tcW w:w="1430" w:type="dxa"/>
            <w:tcBorders/>
            <w:shd w:fill="CCEEFF" w:val="clear"/>
            <w:vAlign w:val="center"/>
          </w:tcPr>
          <w:p>
            <w:pPr>
              <w:pStyle w:val="TableContents"/>
              <w:bidi w:val="0"/>
              <w:spacing w:before="0" w:after="283"/>
              <w:jc w:val="left"/>
              <w:rPr>
                <w:b/>
              </w:rPr>
            </w:pPr>
            <w:r>
              <w:rPr>
                <w:b/>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6_eus-gaap--SharesOutstanding_iS_p"/>
            <w:bookmarkEnd w:id="156"/>
          </w:p>
        </w:tc>
        <w:tc>
          <w:tcPr>
            <w:tcW w:w="1100" w:type="dxa"/>
            <w:tcBorders/>
            <w:shd w:fill="CCEEFF" w:val="clear"/>
            <w:vAlign w:val="center"/>
          </w:tcPr>
          <w:p>
            <w:pPr>
              <w:pStyle w:val="TableContents"/>
              <w:bidi w:val="0"/>
              <w:spacing w:before="0" w:after="283"/>
              <w:jc w:val="right"/>
              <w:rPr>
                <w:b/>
              </w:rPr>
            </w:pPr>
            <w:r>
              <w:rPr>
                <w:b/>
              </w:rPr>
              <w:t>15,254,389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b/>
              </w:rPr>
            </w:pPr>
            <w:r>
              <w:rPr>
                <w:b/>
              </w:rPr>
              <w:t>$</w:t>
            </w:r>
          </w:p>
        </w:tc>
        <w:tc>
          <w:tcPr>
            <w:tcW w:w="430" w:type="dxa"/>
            <w:tcBorders/>
            <w:shd w:fill="CCEEFF" w:val="cle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7" w:name="xdx_98E_eus-gaap--SharesOutstanding_iS_p"/>
            <w:bookmarkEnd w:id="157"/>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b/>
              </w:rPr>
            </w:pPr>
            <w:r>
              <w:rPr>
                <w:b/>
              </w:rPr>
              <w:t>$</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b/>
              </w:rPr>
            </w:pPr>
            <w:r>
              <w:rPr>
                <w:b/>
              </w:rPr>
              <w:t>83,282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(57,801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b/>
              </w:rPr>
            </w:pPr>
            <w:r>
              <w:rPr>
                <w:b/>
              </w:rPr>
              <w:t>$</w:t>
            </w:r>
          </w:p>
        </w:tc>
        <w:tc>
          <w:tcPr>
            <w:tcW w:w="1136" w:type="dxa"/>
            <w:tcBorders/>
            <w:shd w:fill="CCEEFF" w:val="clear"/>
            <w:vAlign w:val="center"/>
          </w:tcPr>
          <w:p>
            <w:pPr>
              <w:pStyle w:val="TableContents"/>
              <w:bidi w:val="0"/>
              <w:spacing w:before="0" w:after="283"/>
              <w:jc w:val="right"/>
              <w:rPr>
                <w:b/>
              </w:rPr>
            </w:pPr>
            <w:r>
              <w:rPr>
                <w:b/>
              </w:rPr>
              <w:t>(85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b/>
              </w:rPr>
            </w:pPr>
            <w:r>
              <w:rPr>
                <w:b/>
              </w:rPr>
              <w:t>$</w:t>
            </w:r>
          </w:p>
        </w:tc>
        <w:tc>
          <w:tcPr>
            <w:tcW w:w="1174" w:type="dxa"/>
            <w:tcBorders/>
            <w:shd w:fill="CCEEFF" w:val="clear"/>
            <w:vAlign w:val="center"/>
          </w:tcPr>
          <w:p>
            <w:pPr>
              <w:pStyle w:val="TableContents"/>
              <w:bidi w:val="0"/>
              <w:spacing w:before="0" w:after="283"/>
              <w:jc w:val="right"/>
              <w:rPr>
                <w:b/>
              </w:rPr>
            </w:pPr>
            <w:r>
              <w:rPr>
                <w:b/>
              </w:rPr>
              <w:t>25,398</w:t>
            </w:r>
          </w:p>
        </w:tc>
        <w:tc>
          <w:tcPr>
            <w:tcW w:w="75" w:type="dxa"/>
            <w:tcBorders/>
            <w:shd w:fill="CCEEFF" w:val="clear"/>
            <w:vAlign w:val="center"/>
          </w:tcPr>
          <w:p>
            <w:pPr>
              <w:pStyle w:val="TableContents"/>
              <w:bidi w:val="0"/>
              <w:spacing w:before="0" w:after="283"/>
              <w:ind w:left="0" w:right="0" w:hanging="180"/>
              <w:jc w:val="left"/>
              <w:rPr/>
            </w:pPr>
            <w:r>
              <w:rPr/>
              <w:t> </w:t>
            </w:r>
            <w:bookmarkStart w:id="158" w:name="xdx_401_eus-gaap--NetIncomeLoss_zmWGroaQ"/>
            <w:bookmarkEnd w:id="158"/>
          </w:p>
        </w:tc>
      </w:tr>
      <w:tr>
        <w:trPr/>
        <w:tc>
          <w:tcPr>
            <w:tcW w:w="14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(5,170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(5,170</w:t>
            </w:r>
          </w:p>
        </w:tc>
        <w:tc>
          <w:tcPr>
            <w:tcW w:w="75" w:type="dxa"/>
            <w:tcBorders/>
            <w:shd w:fill="FFFFFF" w:val="clear"/>
            <w:vAlign w:val="center"/>
          </w:tcPr>
          <w:p>
            <w:pPr>
              <w:pStyle w:val="TableContents"/>
              <w:bidi w:val="0"/>
              <w:spacing w:before="0" w:after="283"/>
              <w:ind w:left="0" w:right="0" w:hanging="180"/>
              <w:jc w:val="left"/>
              <w:rPr/>
            </w:pPr>
            <w:r>
              <w:rPr/>
              <w:t>)</w:t>
            </w:r>
            <w:bookmarkStart w:id="159" w:name="xdx_40D_eus-gaap--ShareBasedCompensation"/>
            <w:bookmarkEnd w:id="159"/>
          </w:p>
        </w:tc>
      </w:tr>
      <w:tr>
        <w:trPr/>
        <w:tc>
          <w:tcPr>
            <w:tcW w:w="143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599</w:t>
            </w:r>
          </w:p>
        </w:tc>
        <w:tc>
          <w:tcPr>
            <w:tcW w:w="75" w:type="dxa"/>
            <w:tcBorders/>
            <w:shd w:fill="CCEEFF" w:val="clear"/>
            <w:vAlign w:val="center"/>
          </w:tcPr>
          <w:p>
            <w:pPr>
              <w:pStyle w:val="TableContents"/>
              <w:bidi w:val="0"/>
              <w:spacing w:before="0" w:after="283"/>
              <w:ind w:left="0" w:right="0" w:hanging="180"/>
              <w:jc w:val="left"/>
              <w:rPr/>
            </w:pPr>
            <w:r>
              <w:rPr/>
              <w:t> </w:t>
            </w:r>
            <w:bookmarkStart w:id="160" w:name="xdx_406_ecustom--CumulativeTranslationAd"/>
            <w:bookmarkEnd w:id="160"/>
          </w:p>
        </w:tc>
      </w:tr>
      <w:tr>
        <w:trPr/>
        <w:tc>
          <w:tcPr>
            <w:tcW w:w="1430"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54</w:t>
            </w:r>
          </w:p>
        </w:tc>
        <w:tc>
          <w:tcPr>
            <w:tcW w:w="75" w:type="dxa"/>
            <w:tcBorders/>
            <w:shd w:fill="FFFFFF" w:val="clear"/>
            <w:vAlign w:val="center"/>
          </w:tcPr>
          <w:p>
            <w:pPr>
              <w:pStyle w:val="TableContents"/>
              <w:bidi w:val="0"/>
              <w:spacing w:before="0" w:after="283"/>
              <w:ind w:left="0" w:right="0" w:hanging="180"/>
              <w:jc w:val="left"/>
              <w:rPr/>
            </w:pPr>
            <w:r>
              <w:rPr/>
              <w:t> </w:t>
            </w:r>
            <w:bookmarkStart w:id="161" w:name="xdx_43C_c20240101__20240331_eus-gaap--St"/>
            <w:bookmarkEnd w:id="161"/>
          </w:p>
        </w:tc>
      </w:tr>
      <w:tr>
        <w:trPr/>
        <w:tc>
          <w:tcPr>
            <w:tcW w:w="1430" w:type="dxa"/>
            <w:tcBorders/>
            <w:shd w:fill="CCEEFF" w:val="clear"/>
            <w:vAlign w:val="center"/>
          </w:tcPr>
          <w:p>
            <w:pPr>
              <w:pStyle w:val="TableContents"/>
              <w:bidi w:val="0"/>
              <w:spacing w:before="0" w:after="283"/>
              <w:jc w:val="left"/>
              <w:rPr>
                <w:b/>
              </w:rPr>
            </w:pPr>
            <w:r>
              <w:rPr>
                <w:b/>
              </w:rPr>
              <w:t>Balance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2" w:name="xdx_981_eus-gaap--SharesOutstanding_iE_p"/>
            <w:bookmarkEnd w:id="16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15,254,389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3" w:name="xdx_988_eus-gaap--SharesOutstanding_iE_p"/>
            <w:bookmarkEnd w:id="16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83,881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(62,971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7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20,881</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4" w:name="a_006"/>
      <w:bookmarkEnd w:id="164"/>
      <w:r>
        <w:rPr>
          <w:rFonts w:ascii="Times New Roman;Times;Serif" w:hAnsi="Times New Roman;Times;Serif"/>
          <w:b/>
          <w:i w:val="false"/>
          <w:caps w:val="false"/>
          <w:smallCaps w:val="false"/>
          <w:sz w:val="20"/>
        </w:rPr>
        <w:t>CXAPP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5" w:name="xdx_30C_112_pn3n3_zF1MpCCkzN9c"/>
      <w:bookmarkStart w:id="166" w:name="xdx_30C_112_pn3n3_zF1MpCCkzN9c"/>
      <w:bookmarkEnd w:id="166"/>
    </w:p>
    <w:tbl>
      <w:tblPr>
        <w:tblW w:w="10205" w:type="dxa"/>
        <w:jc w:val="left"/>
        <w:tblInd w:w="0" w:type="dxa"/>
        <w:tblLayout w:type="fixed"/>
        <w:tblCellMar>
          <w:top w:w="0" w:type="dxa"/>
          <w:left w:w="0" w:type="dxa"/>
          <w:bottom w:w="0" w:type="dxa"/>
          <w:right w:w="0" w:type="dxa"/>
        </w:tblCellMar>
      </w:tblPr>
      <w:tblGrid>
        <w:gridCol w:w="5371"/>
        <w:gridCol w:w="60"/>
        <w:gridCol w:w="290"/>
        <w:gridCol w:w="1320"/>
        <w:gridCol w:w="95"/>
        <w:gridCol w:w="60"/>
        <w:gridCol w:w="225"/>
        <w:gridCol w:w="1100"/>
        <w:gridCol w:w="95"/>
        <w:gridCol w:w="60"/>
        <w:gridCol w:w="243"/>
        <w:gridCol w:w="1190"/>
        <w:gridCol w:w="96"/>
      </w:tblGrid>
      <w:tr>
        <w:trPr/>
        <w:tc>
          <w:tcPr>
            <w:tcW w:w="5371"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bookmarkStart w:id="167" w:name="xdx_492_20240101__20240331__srt--Stateme"/>
            <w:bookmarkEnd w:id="167"/>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bookmarkStart w:id="168" w:name="xdx_49F_20230315__20230331__srt--Stateme"/>
            <w:bookmarkEnd w:id="168"/>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bookmarkStart w:id="169" w:name="xdx_491_20230101__20230314__srt--Stateme"/>
            <w:bookmarkEnd w:id="169"/>
          </w:p>
        </w:tc>
        <w:tc>
          <w:tcPr>
            <w:tcW w:w="119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53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r>
          </w:p>
        </w:tc>
        <w:tc>
          <w:tcPr>
            <w:tcW w:w="96" w:type="dxa"/>
            <w:tcBorders/>
            <w:vAlign w:val="center"/>
          </w:tcPr>
          <w:p>
            <w:pPr>
              <w:pStyle w:val="TableContents"/>
              <w:bidi w:val="0"/>
              <w:spacing w:before="0" w:after="283"/>
              <w:jc w:val="center"/>
              <w:rPr/>
            </w:pPr>
            <w:r>
              <w:rPr/>
              <w:t> </w:t>
            </w:r>
          </w:p>
        </w:tc>
      </w:tr>
      <w:tr>
        <w:trPr/>
        <w:tc>
          <w:tcPr>
            <w:tcW w:w="53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90" w:type="dxa"/>
            <w:gridSpan w:val="6"/>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433" w:type="dxa"/>
            <w:gridSpan w:val="2"/>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ind w:left="0" w:right="0" w:hanging="180"/>
              <w:jc w:val="center"/>
              <w:rPr/>
            </w:pPr>
            <w:r>
              <w:rPr/>
              <w:t> </w:t>
            </w:r>
          </w:p>
        </w:tc>
      </w:tr>
      <w:tr>
        <w:trPr/>
        <w:tc>
          <w:tcPr>
            <w:tcW w:w="53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March 15, 2023</w:t>
              <w:br/>
              <w:t>to</w:t>
              <w:br/>
              <w:t>March 31,</w:t>
              <w:br/>
              <w:t>2023</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January 1, 2023</w:t>
              <w:br/>
              <w:t>to</w:t>
              <w:br/>
              <w:t>March 14,</w:t>
              <w:br/>
              <w:t>2023</w:t>
            </w:r>
          </w:p>
        </w:tc>
        <w:tc>
          <w:tcPr>
            <w:tcW w:w="96" w:type="dxa"/>
            <w:tcBorders/>
            <w:vAlign w:val="center"/>
          </w:tcPr>
          <w:p>
            <w:pPr>
              <w:pStyle w:val="TableContents"/>
              <w:bidi w:val="0"/>
              <w:spacing w:before="0" w:after="283"/>
              <w:ind w:left="0" w:right="0" w:hanging="180"/>
              <w:jc w:val="center"/>
              <w:rPr/>
            </w:pPr>
            <w:r>
              <w:rPr/>
              <w:t> </w:t>
            </w:r>
            <w:bookmarkStart w:id="170" w:name="xdx_407_eus-gaap--NetCashProvidedByUsedI"/>
            <w:bookmarkEnd w:id="170"/>
          </w:p>
        </w:tc>
      </w:tr>
      <w:tr>
        <w:trPr/>
        <w:tc>
          <w:tcPr>
            <w:tcW w:w="5371"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bookmarkStart w:id="171" w:name="xdx_409_eus-gaap--ProfitLoss_i01_maCztGe"/>
            <w:bookmarkEnd w:id="171"/>
          </w:p>
        </w:tc>
      </w:tr>
      <w:tr>
        <w:trPr/>
        <w:tc>
          <w:tcPr>
            <w:tcW w:w="5371"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20" w:type="dxa"/>
            <w:tcBorders/>
            <w:shd w:fill="FFFFFF" w:val="clear"/>
            <w:vAlign w:val="center"/>
          </w:tcPr>
          <w:p>
            <w:pPr>
              <w:pStyle w:val="TableContents"/>
              <w:bidi w:val="0"/>
              <w:spacing w:before="0" w:after="283"/>
              <w:jc w:val="right"/>
              <w:rPr/>
            </w:pPr>
            <w:r>
              <w:rPr/>
              <w:t>(5,170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2,758</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w:t>
            </w:r>
          </w:p>
        </w:tc>
        <w:tc>
          <w:tcPr>
            <w:tcW w:w="1190" w:type="dxa"/>
            <w:tcBorders/>
            <w:shd w:fill="FFFFFF" w:val="clear"/>
            <w:vAlign w:val="center"/>
          </w:tcPr>
          <w:p>
            <w:pPr>
              <w:pStyle w:val="TableContents"/>
              <w:bidi w:val="0"/>
              <w:spacing w:before="0" w:after="283"/>
              <w:jc w:val="right"/>
              <w:rPr/>
            </w:pPr>
            <w:r>
              <w:rPr/>
              <w:t>(4,380</w:t>
            </w:r>
          </w:p>
        </w:tc>
        <w:tc>
          <w:tcPr>
            <w:tcW w:w="96" w:type="dxa"/>
            <w:tcBorders/>
            <w:shd w:fill="FFFFFF" w:val="clear"/>
            <w:vAlign w:val="center"/>
          </w:tcPr>
          <w:p>
            <w:pPr>
              <w:pStyle w:val="TableContents"/>
              <w:bidi w:val="0"/>
              <w:spacing w:before="0" w:after="283"/>
              <w:ind w:left="0" w:right="0" w:hanging="180"/>
              <w:jc w:val="left"/>
              <w:rPr/>
            </w:pPr>
            <w:r>
              <w:rPr/>
              <w:t>)</w:t>
            </w:r>
            <w:bookmarkStart w:id="172" w:name="xdx_40E_eus-gaap--AdjustmentsToReconcile"/>
            <w:bookmarkEnd w:id="172"/>
          </w:p>
        </w:tc>
      </w:tr>
      <w:tr>
        <w:trPr/>
        <w:tc>
          <w:tcPr>
            <w:tcW w:w="5371" w:type="dxa"/>
            <w:tcBorders/>
            <w:shd w:fill="CCEEFF" w:val="clear"/>
            <w:vAlign w:val="center"/>
          </w:tcPr>
          <w:p>
            <w:pPr>
              <w:pStyle w:val="TableContents"/>
              <w:bidi w:val="0"/>
              <w:spacing w:before="0" w:after="283"/>
              <w:jc w:val="left"/>
              <w:rPr/>
            </w:pPr>
            <w:r>
              <w:rPr/>
              <w:t>Adjustments to reconcile net income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bookmarkStart w:id="173" w:name="xdx_408_eus-gaap--DepreciationDepletionA"/>
            <w:bookmarkEnd w:id="173"/>
          </w:p>
        </w:tc>
      </w:tr>
      <w:tr>
        <w:trPr/>
        <w:tc>
          <w:tcPr>
            <w:tcW w:w="5371"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228</w:t>
            </w:r>
          </w:p>
        </w:tc>
        <w:tc>
          <w:tcPr>
            <w:tcW w:w="96" w:type="dxa"/>
            <w:tcBorders/>
            <w:shd w:fill="FFFFFF" w:val="clear"/>
            <w:vAlign w:val="center"/>
          </w:tcPr>
          <w:p>
            <w:pPr>
              <w:pStyle w:val="TableContents"/>
              <w:bidi w:val="0"/>
              <w:spacing w:before="0" w:after="283"/>
              <w:ind w:left="0" w:right="0" w:hanging="180"/>
              <w:jc w:val="left"/>
              <w:rPr/>
            </w:pPr>
            <w:r>
              <w:rPr/>
              <w:t> </w:t>
            </w:r>
            <w:bookmarkStart w:id="174" w:name="xdx_404_eus-gaap--AmortizationOfIntangib"/>
            <w:bookmarkEnd w:id="174"/>
          </w:p>
        </w:tc>
      </w:tr>
      <w:tr>
        <w:trPr/>
        <w:tc>
          <w:tcPr>
            <w:tcW w:w="5371"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806</w:t>
            </w:r>
          </w:p>
        </w:tc>
        <w:tc>
          <w:tcPr>
            <w:tcW w:w="96" w:type="dxa"/>
            <w:tcBorders/>
            <w:shd w:fill="CCEEFF" w:val="clear"/>
            <w:vAlign w:val="center"/>
          </w:tcPr>
          <w:p>
            <w:pPr>
              <w:pStyle w:val="TableContents"/>
              <w:bidi w:val="0"/>
              <w:spacing w:before="0" w:after="283"/>
              <w:ind w:left="0" w:right="0" w:hanging="180"/>
              <w:jc w:val="left"/>
              <w:rPr/>
            </w:pPr>
            <w:r>
              <w:rPr/>
              <w:t> </w:t>
            </w:r>
            <w:bookmarkStart w:id="175" w:name="xdx_40F_eus-gaap--FinanceLeaseRightOfUse"/>
            <w:bookmarkEnd w:id="175"/>
          </w:p>
        </w:tc>
      </w:tr>
      <w:tr>
        <w:trPr/>
        <w:tc>
          <w:tcPr>
            <w:tcW w:w="5371" w:type="dxa"/>
            <w:tcBorders/>
            <w:shd w:fill="FFFFFF" w:val="clear"/>
            <w:vAlign w:val="center"/>
          </w:tcPr>
          <w:p>
            <w:pPr>
              <w:pStyle w:val="TableContents"/>
              <w:bidi w:val="0"/>
              <w:spacing w:before="0" w:after="283"/>
              <w:jc w:val="left"/>
              <w:rPr/>
            </w:pPr>
            <w:r>
              <w:rPr/>
              <w:t>Amortization of right of use asset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40</w:t>
            </w:r>
          </w:p>
        </w:tc>
        <w:tc>
          <w:tcPr>
            <w:tcW w:w="96" w:type="dxa"/>
            <w:tcBorders/>
            <w:shd w:fill="FFFFFF" w:val="clear"/>
            <w:vAlign w:val="center"/>
          </w:tcPr>
          <w:p>
            <w:pPr>
              <w:pStyle w:val="TableContents"/>
              <w:bidi w:val="0"/>
              <w:spacing w:before="0" w:after="283"/>
              <w:ind w:left="0" w:right="0" w:hanging="180"/>
              <w:jc w:val="left"/>
              <w:rPr/>
            </w:pPr>
            <w:r>
              <w:rPr/>
              <w:t> </w:t>
            </w:r>
            <w:bookmarkStart w:id="176" w:name="xdx_40E_ecustom--AmortizationOfDebtDisco"/>
            <w:bookmarkEnd w:id="176"/>
          </w:p>
        </w:tc>
      </w:tr>
      <w:tr>
        <w:trPr/>
        <w:tc>
          <w:tcPr>
            <w:tcW w:w="5371" w:type="dxa"/>
            <w:tcBorders/>
            <w:shd w:fill="CCEEFF" w:val="clear"/>
            <w:vAlign w:val="center"/>
          </w:tcPr>
          <w:p>
            <w:pPr>
              <w:pStyle w:val="TableContents"/>
              <w:bidi w:val="0"/>
              <w:spacing w:before="0" w:after="283"/>
              <w:jc w:val="left"/>
              <w:rPr/>
            </w:pPr>
            <w:r>
              <w:rPr/>
              <w:t>Amortization of debt discount and deferred financing cost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bookmarkStart w:id="177" w:name="xdx_402_ecustom--AccruedInterestExpenseO"/>
            <w:bookmarkEnd w:id="177"/>
          </w:p>
        </w:tc>
      </w:tr>
      <w:tr>
        <w:trPr/>
        <w:tc>
          <w:tcPr>
            <w:tcW w:w="5371" w:type="dxa"/>
            <w:tcBorders/>
            <w:shd w:fill="FFFFFF" w:val="clear"/>
            <w:vAlign w:val="center"/>
          </w:tcPr>
          <w:p>
            <w:pPr>
              <w:pStyle w:val="TableContents"/>
              <w:bidi w:val="0"/>
              <w:spacing w:before="0" w:after="283"/>
              <w:jc w:val="left"/>
              <w:rPr/>
            </w:pPr>
            <w:r>
              <w:rPr/>
              <w:t>Accrued interest expense on promissory note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180"/>
              <w:jc w:val="left"/>
              <w:rPr/>
            </w:pPr>
            <w:r>
              <w:rPr/>
              <w:t> </w:t>
            </w:r>
            <w:bookmarkStart w:id="178" w:name="xdx_40C_eus-gaap--DeferredIncomeTaxExpen"/>
            <w:bookmarkEnd w:id="178"/>
          </w:p>
        </w:tc>
      </w:tr>
      <w:tr>
        <w:trPr/>
        <w:tc>
          <w:tcPr>
            <w:tcW w:w="5371"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(1,560</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bookmarkStart w:id="179" w:name="xdx_402_eus-gaap--EmployeeBenefitsAndSha"/>
            <w:bookmarkEnd w:id="179"/>
          </w:p>
        </w:tc>
      </w:tr>
      <w:tr>
        <w:trPr/>
        <w:tc>
          <w:tcPr>
            <w:tcW w:w="5371"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158</w:t>
            </w:r>
          </w:p>
        </w:tc>
        <w:tc>
          <w:tcPr>
            <w:tcW w:w="96" w:type="dxa"/>
            <w:tcBorders/>
            <w:shd w:fill="FFFFFF" w:val="clear"/>
            <w:vAlign w:val="center"/>
          </w:tcPr>
          <w:p>
            <w:pPr>
              <w:pStyle w:val="TableContents"/>
              <w:bidi w:val="0"/>
              <w:spacing w:before="0" w:after="283"/>
              <w:ind w:left="0" w:right="0" w:hanging="180"/>
              <w:jc w:val="left"/>
              <w:rPr/>
            </w:pPr>
            <w:r>
              <w:rPr/>
              <w:t> </w:t>
            </w:r>
            <w:bookmarkStart w:id="180" w:name="xdx_408_eus-gaap--ForeignCurrencyTransac"/>
            <w:bookmarkEnd w:id="180"/>
          </w:p>
        </w:tc>
      </w:tr>
      <w:tr>
        <w:trPr/>
        <w:tc>
          <w:tcPr>
            <w:tcW w:w="5371" w:type="dxa"/>
            <w:tcBorders/>
            <w:shd w:fill="CCEEFF" w:val="clear"/>
            <w:vAlign w:val="center"/>
          </w:tcPr>
          <w:p>
            <w:pPr>
              <w:pStyle w:val="TableContents"/>
              <w:bidi w:val="0"/>
              <w:spacing w:before="0" w:after="283"/>
              <w:jc w:val="left"/>
              <w:rPr/>
            </w:pPr>
            <w:r>
              <w:rPr/>
              <w:t>(Gain) loss on foreign currency transactions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(32</w:t>
            </w:r>
          </w:p>
        </w:tc>
        <w:tc>
          <w:tcPr>
            <w:tcW w:w="96" w:type="dxa"/>
            <w:tcBorders/>
            <w:shd w:fill="CCEEFF" w:val="clear"/>
            <w:vAlign w:val="center"/>
          </w:tcPr>
          <w:p>
            <w:pPr>
              <w:pStyle w:val="TableContents"/>
              <w:bidi w:val="0"/>
              <w:spacing w:before="0" w:after="283"/>
              <w:ind w:left="0" w:right="0" w:hanging="180"/>
              <w:jc w:val="left"/>
              <w:rPr/>
            </w:pPr>
            <w:r>
              <w:rPr/>
              <w:t>)</w:t>
            </w:r>
            <w:bookmarkStart w:id="181" w:name="xdx_400_ecustom--ChangeInFairValueOfDeri"/>
            <w:bookmarkEnd w:id="181"/>
          </w:p>
        </w:tc>
      </w:tr>
      <w:tr>
        <w:trPr/>
        <w:tc>
          <w:tcPr>
            <w:tcW w:w="5371"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1,472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(1,686</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180"/>
              <w:jc w:val="left"/>
              <w:rPr/>
            </w:pPr>
            <w:r>
              <w:rPr/>
              <w:t> </w:t>
            </w:r>
            <w:bookmarkStart w:id="182" w:name="xdx_403_eus-gaap--IncreaseDecreaseInOper"/>
            <w:bookmarkEnd w:id="182"/>
          </w:p>
        </w:tc>
      </w:tr>
      <w:tr>
        <w:trPr/>
        <w:tc>
          <w:tcPr>
            <w:tcW w:w="5371"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bookmarkStart w:id="183" w:name="xdx_40C_eus-gaap--IncreaseDecreaseInAcco"/>
            <w:bookmarkEnd w:id="183"/>
          </w:p>
        </w:tc>
      </w:tr>
      <w:tr>
        <w:trPr/>
        <w:tc>
          <w:tcPr>
            <w:tcW w:w="5371" w:type="dxa"/>
            <w:tcBorders/>
            <w:shd w:fill="FFFFFF" w:val="clear"/>
            <w:vAlign w:val="center"/>
          </w:tcPr>
          <w:p>
            <w:pPr>
              <w:pStyle w:val="TableContents"/>
              <w:bidi w:val="0"/>
              <w:spacing w:before="0" w:after="283"/>
              <w:jc w:val="left"/>
              <w:rPr/>
            </w:pPr>
            <w:r>
              <w:rPr/>
              <w:t>Accounts receivable and other receivables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(335</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(857</w:t>
            </w:r>
          </w:p>
        </w:tc>
        <w:tc>
          <w:tcPr>
            <w:tcW w:w="96" w:type="dxa"/>
            <w:tcBorders/>
            <w:shd w:fill="FFFFFF" w:val="clear"/>
            <w:vAlign w:val="center"/>
          </w:tcPr>
          <w:p>
            <w:pPr>
              <w:pStyle w:val="TableContents"/>
              <w:bidi w:val="0"/>
              <w:spacing w:before="0" w:after="283"/>
              <w:ind w:left="0" w:right="0" w:hanging="180"/>
              <w:jc w:val="left"/>
              <w:rPr/>
            </w:pPr>
            <w:r>
              <w:rPr/>
              <w:t>)</w:t>
            </w:r>
            <w:bookmarkStart w:id="184" w:name="xdx_405_eus-gaap--IncreaseDecreaseInPrep"/>
            <w:bookmarkEnd w:id="184"/>
          </w:p>
        </w:tc>
      </w:tr>
      <w:tr>
        <w:trPr/>
        <w:tc>
          <w:tcPr>
            <w:tcW w:w="537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(20</w:t>
            </w:r>
          </w:p>
        </w:tc>
        <w:tc>
          <w:tcPr>
            <w:tcW w:w="96" w:type="dxa"/>
            <w:tcBorders/>
            <w:shd w:fill="CCEEFF" w:val="clear"/>
            <w:vAlign w:val="center"/>
          </w:tcPr>
          <w:p>
            <w:pPr>
              <w:pStyle w:val="TableContents"/>
              <w:bidi w:val="0"/>
              <w:spacing w:before="0" w:after="283"/>
              <w:ind w:left="0" w:right="0" w:hanging="180"/>
              <w:jc w:val="left"/>
              <w:rPr/>
            </w:pPr>
            <w:r>
              <w:rPr/>
              <w:t>)</w:t>
            </w:r>
            <w:bookmarkStart w:id="185" w:name="xdx_401_eus-gaap--IncreaseDecreaseInOthe"/>
            <w:bookmarkEnd w:id="185"/>
          </w:p>
        </w:tc>
      </w:tr>
      <w:tr>
        <w:trPr/>
        <w:tc>
          <w:tcPr>
            <w:tcW w:w="5371"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180"/>
              <w:jc w:val="left"/>
              <w:rPr/>
            </w:pPr>
            <w:r>
              <w:rPr/>
              <w:t> </w:t>
            </w:r>
            <w:bookmarkStart w:id="186" w:name="xdx_408_eus-gaap--IncreaseDecreaseInAcco"/>
            <w:bookmarkEnd w:id="186"/>
          </w:p>
        </w:tc>
      </w:tr>
      <w:tr>
        <w:trPr/>
        <w:tc>
          <w:tcPr>
            <w:tcW w:w="537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135</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(796</w:t>
            </w:r>
          </w:p>
        </w:tc>
        <w:tc>
          <w:tcPr>
            <w:tcW w:w="96" w:type="dxa"/>
            <w:tcBorders/>
            <w:shd w:fill="CCEEFF" w:val="clear"/>
            <w:vAlign w:val="center"/>
          </w:tcPr>
          <w:p>
            <w:pPr>
              <w:pStyle w:val="TableContents"/>
              <w:bidi w:val="0"/>
              <w:spacing w:before="0" w:after="283"/>
              <w:ind w:left="0" w:right="0" w:hanging="180"/>
              <w:jc w:val="left"/>
              <w:rPr/>
            </w:pPr>
            <w:r>
              <w:rPr/>
              <w:t>)</w:t>
            </w:r>
            <w:bookmarkStart w:id="187" w:name="xdx_40B_eus-gaap--IncreaseDecreaseInAccr"/>
            <w:bookmarkEnd w:id="187"/>
          </w:p>
        </w:tc>
      </w:tr>
      <w:tr>
        <w:trPr/>
        <w:tc>
          <w:tcPr>
            <w:tcW w:w="5371"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(3,888</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(787</w:t>
            </w:r>
          </w:p>
        </w:tc>
        <w:tc>
          <w:tcPr>
            <w:tcW w:w="96" w:type="dxa"/>
            <w:tcBorders/>
            <w:shd w:fill="FFFFFF" w:val="clear"/>
            <w:vAlign w:val="center"/>
          </w:tcPr>
          <w:p>
            <w:pPr>
              <w:pStyle w:val="TableContents"/>
              <w:bidi w:val="0"/>
              <w:spacing w:before="0" w:after="283"/>
              <w:ind w:left="0" w:right="0" w:hanging="180"/>
              <w:jc w:val="left"/>
              <w:rPr/>
            </w:pPr>
            <w:r>
              <w:rPr/>
              <w:t>)</w:t>
            </w:r>
            <w:bookmarkStart w:id="188" w:name="xdx_406_eus-gaap--IncreaseDecreaseInOper"/>
            <w:bookmarkEnd w:id="188"/>
          </w:p>
        </w:tc>
      </w:tr>
      <w:tr>
        <w:trPr/>
        <w:tc>
          <w:tcPr>
            <w:tcW w:w="5371"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(38</w:t>
            </w:r>
          </w:p>
        </w:tc>
        <w:tc>
          <w:tcPr>
            <w:tcW w:w="96" w:type="dxa"/>
            <w:tcBorders/>
            <w:shd w:fill="CCEEFF" w:val="clear"/>
            <w:vAlign w:val="center"/>
          </w:tcPr>
          <w:p>
            <w:pPr>
              <w:pStyle w:val="TableContents"/>
              <w:bidi w:val="0"/>
              <w:spacing w:before="0" w:after="283"/>
              <w:ind w:left="0" w:right="0" w:hanging="180"/>
              <w:jc w:val="left"/>
              <w:rPr/>
            </w:pPr>
            <w:r>
              <w:rPr/>
              <w:t>)</w:t>
            </w:r>
            <w:bookmarkStart w:id="189" w:name="xdx_403_eus-gaap--IncreaseDecreaseInDefe"/>
            <w:bookmarkEnd w:id="189"/>
          </w:p>
        </w:tc>
      </w:tr>
      <w:tr>
        <w:trPr/>
        <w:tc>
          <w:tcPr>
            <w:tcW w:w="5371"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156</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534</w:t>
            </w:r>
          </w:p>
        </w:tc>
        <w:tc>
          <w:tcPr>
            <w:tcW w:w="96" w:type="dxa"/>
            <w:tcBorders/>
            <w:shd w:fill="FFFFFF" w:val="clear"/>
            <w:vAlign w:val="center"/>
          </w:tcPr>
          <w:p>
            <w:pPr>
              <w:pStyle w:val="TableContents"/>
              <w:bidi w:val="0"/>
              <w:spacing w:before="0" w:after="283"/>
              <w:ind w:left="0" w:right="0" w:hanging="180"/>
              <w:jc w:val="left"/>
              <w:rPr/>
            </w:pPr>
            <w:r>
              <w:rPr/>
              <w:t> </w:t>
            </w:r>
            <w:bookmarkStart w:id="190" w:name="xdx_40D_eus-gaap--NetCashProvidedByUsedI"/>
            <w:bookmarkEnd w:id="190"/>
          </w:p>
        </w:tc>
      </w:tr>
      <w:tr>
        <w:trPr/>
        <w:tc>
          <w:tcPr>
            <w:tcW w:w="5371"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(650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(4,431</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pPr>
            <w:r>
              <w:rPr/>
              <w:t>(5,144</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3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bookmarkStart w:id="191" w:name="xdx_406_eus-gaap--NetCashProvidedByUsedI"/>
            <w:bookmarkEnd w:id="191"/>
          </w:p>
        </w:tc>
      </w:tr>
      <w:tr>
        <w:trPr/>
        <w:tc>
          <w:tcPr>
            <w:tcW w:w="5371" w:type="dxa"/>
            <w:tcBorders/>
            <w:shd w:fill="CCEEFF" w:val="clear"/>
            <w:vAlign w:val="center"/>
          </w:tcPr>
          <w:p>
            <w:pPr>
              <w:pStyle w:val="TableContents"/>
              <w:bidi w:val="0"/>
              <w:spacing w:before="0" w:after="283"/>
              <w:jc w:val="left"/>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bookmarkStart w:id="192" w:name="xdx_409_eus-gaap--PaymentsToAcquirePrope"/>
            <w:bookmarkEnd w:id="192"/>
          </w:p>
        </w:tc>
      </w:tr>
      <w:tr>
        <w:trPr/>
        <w:tc>
          <w:tcPr>
            <w:tcW w:w="5371"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(9</w:t>
            </w:r>
          </w:p>
        </w:tc>
        <w:tc>
          <w:tcPr>
            <w:tcW w:w="96" w:type="dxa"/>
            <w:tcBorders/>
            <w:shd w:fill="FFFFFF" w:val="clear"/>
            <w:vAlign w:val="center"/>
          </w:tcPr>
          <w:p>
            <w:pPr>
              <w:pStyle w:val="TableContents"/>
              <w:bidi w:val="0"/>
              <w:spacing w:before="0" w:after="283"/>
              <w:ind w:left="0" w:right="0" w:hanging="180"/>
              <w:jc w:val="left"/>
              <w:rPr/>
            </w:pPr>
            <w:r>
              <w:rPr/>
              <w:t>)</w:t>
            </w:r>
            <w:bookmarkStart w:id="193" w:name="xdx_40F_ecustom--InvestmentInCapitalized"/>
            <w:bookmarkEnd w:id="193"/>
          </w:p>
        </w:tc>
      </w:tr>
      <w:tr>
        <w:trPr/>
        <w:tc>
          <w:tcPr>
            <w:tcW w:w="5371" w:type="dxa"/>
            <w:tcBorders/>
            <w:shd w:fill="CCEEFF" w:val="clear"/>
            <w:vAlign w:val="center"/>
          </w:tcPr>
          <w:p>
            <w:pPr>
              <w:pStyle w:val="TableContents"/>
              <w:bidi w:val="0"/>
              <w:spacing w:before="0" w:after="283"/>
              <w:jc w:val="left"/>
              <w:rPr/>
            </w:pPr>
            <w:r>
              <w:rPr/>
              <w:t>Investment in capitalized software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(45</w:t>
            </w:r>
          </w:p>
        </w:tc>
        <w:tc>
          <w:tcPr>
            <w:tcW w:w="96" w:type="dxa"/>
            <w:tcBorders/>
            <w:shd w:fill="CCEEFF" w:val="clear"/>
            <w:vAlign w:val="center"/>
          </w:tcPr>
          <w:p>
            <w:pPr>
              <w:pStyle w:val="TableContents"/>
              <w:bidi w:val="0"/>
              <w:spacing w:before="0" w:after="283"/>
              <w:ind w:left="0" w:right="0" w:hanging="180"/>
              <w:jc w:val="left"/>
              <w:rPr/>
            </w:pPr>
            <w:r>
              <w:rPr/>
              <w:t>)</w:t>
            </w:r>
            <w:bookmarkStart w:id="194" w:name="xdx_402_eus-gaap--CashAcquiredFromAcquis"/>
            <w:bookmarkEnd w:id="194"/>
          </w:p>
        </w:tc>
      </w:tr>
      <w:tr>
        <w:trPr/>
        <w:tc>
          <w:tcPr>
            <w:tcW w:w="5371" w:type="dxa"/>
            <w:tcBorders/>
            <w:shd w:fill="FFFFFF" w:val="clear"/>
            <w:vAlign w:val="center"/>
          </w:tcPr>
          <w:p>
            <w:pPr>
              <w:pStyle w:val="TableContents"/>
              <w:bidi w:val="0"/>
              <w:spacing w:before="0" w:after="283"/>
              <w:jc w:val="left"/>
              <w:rPr/>
            </w:pPr>
            <w:r>
              <w:rPr/>
              <w:t>Cash acquired in connection with Business Combination</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10,003</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180"/>
              <w:jc w:val="left"/>
              <w:rPr/>
            </w:pPr>
            <w:r>
              <w:rPr/>
              <w:t> </w:t>
            </w:r>
            <w:bookmarkStart w:id="195" w:name="xdx_40B_eus-gaap--NetCashProvidedByUsedI"/>
            <w:bookmarkEnd w:id="195"/>
          </w:p>
        </w:tc>
      </w:tr>
      <w:tr>
        <w:trPr/>
        <w:tc>
          <w:tcPr>
            <w:tcW w:w="5371"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9,980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pPr>
            <w:r>
              <w:rPr/>
              <w:t>(54</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3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bookmarkStart w:id="196" w:name="xdx_400_eus-gaap--NetCashProvidedByUsedI"/>
            <w:bookmarkEnd w:id="196"/>
          </w:p>
        </w:tc>
      </w:tr>
      <w:tr>
        <w:trPr/>
        <w:tc>
          <w:tcPr>
            <w:tcW w:w="5371"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bookmarkStart w:id="197" w:name="xdx_409_ecustom--NetEquityInvestmentFrom"/>
            <w:bookmarkEnd w:id="197"/>
          </w:p>
        </w:tc>
      </w:tr>
      <w:tr>
        <w:trPr/>
        <w:tc>
          <w:tcPr>
            <w:tcW w:w="5371" w:type="dxa"/>
            <w:tcBorders/>
            <w:shd w:fill="FFFFFF" w:val="clear"/>
            <w:vAlign w:val="center"/>
          </w:tcPr>
          <w:p>
            <w:pPr>
              <w:pStyle w:val="TableContents"/>
              <w:bidi w:val="0"/>
              <w:spacing w:before="0" w:after="283"/>
              <w:jc w:val="left"/>
              <w:rPr/>
            </w:pPr>
            <w:r>
              <w:rPr/>
              <w:t>Net equity investment from parent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9,089</w:t>
            </w:r>
          </w:p>
        </w:tc>
        <w:tc>
          <w:tcPr>
            <w:tcW w:w="96" w:type="dxa"/>
            <w:tcBorders/>
            <w:shd w:fill="FFFFFF" w:val="clear"/>
            <w:vAlign w:val="center"/>
          </w:tcPr>
          <w:p>
            <w:pPr>
              <w:pStyle w:val="TableContents"/>
              <w:bidi w:val="0"/>
              <w:spacing w:before="0" w:after="283"/>
              <w:ind w:left="0" w:right="0" w:hanging="180"/>
              <w:jc w:val="left"/>
              <w:rPr/>
            </w:pPr>
            <w:r>
              <w:rPr/>
              <w:t> </w:t>
            </w:r>
            <w:bookmarkStart w:id="198" w:name="xdx_406_ecustom--RepaymentOfCxappAcquisi"/>
            <w:bookmarkEnd w:id="198"/>
          </w:p>
        </w:tc>
      </w:tr>
      <w:tr>
        <w:trPr/>
        <w:tc>
          <w:tcPr>
            <w:tcW w:w="5371" w:type="dxa"/>
            <w:tcBorders/>
            <w:shd w:fill="CCEEFF" w:val="clear"/>
            <w:vAlign w:val="center"/>
          </w:tcPr>
          <w:p>
            <w:pPr>
              <w:pStyle w:val="TableContents"/>
              <w:bidi w:val="0"/>
              <w:spacing w:before="0" w:after="283"/>
              <w:jc w:val="left"/>
              <w:rPr/>
            </w:pPr>
            <w:r>
              <w:rPr/>
              <w:t>Repayment of CXApp acquisition liability</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(197</w:t>
            </w:r>
          </w:p>
        </w:tc>
        <w:tc>
          <w:tcPr>
            <w:tcW w:w="96" w:type="dxa"/>
            <w:tcBorders/>
            <w:shd w:fill="CCEEFF" w:val="clear"/>
            <w:vAlign w:val="center"/>
          </w:tcPr>
          <w:p>
            <w:pPr>
              <w:pStyle w:val="TableContents"/>
              <w:bidi w:val="0"/>
              <w:spacing w:before="0" w:after="283"/>
              <w:ind w:left="0" w:right="0" w:hanging="180"/>
              <w:jc w:val="left"/>
              <w:rPr/>
            </w:pPr>
            <w:r>
              <w:rPr/>
              <w:t>)</w:t>
            </w:r>
            <w:bookmarkStart w:id="199" w:name="xdx_405_ecustom--RepaymentOfRelatedParty"/>
            <w:bookmarkEnd w:id="199"/>
          </w:p>
        </w:tc>
      </w:tr>
      <w:tr>
        <w:trPr/>
        <w:tc>
          <w:tcPr>
            <w:tcW w:w="5371" w:type="dxa"/>
            <w:tcBorders/>
            <w:shd w:fill="FFFFFF" w:val="clear"/>
            <w:vAlign w:val="center"/>
          </w:tcPr>
          <w:p>
            <w:pPr>
              <w:pStyle w:val="TableContents"/>
              <w:bidi w:val="0"/>
              <w:spacing w:before="0" w:after="283"/>
              <w:jc w:val="left"/>
              <w:rPr/>
            </w:pPr>
            <w:r>
              <w:rPr/>
              <w:t>Repayment of related party promissory note</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180"/>
              <w:jc w:val="left"/>
              <w:rPr/>
            </w:pPr>
            <w:r>
              <w:rPr/>
              <w:t> </w:t>
            </w:r>
            <w:bookmarkStart w:id="200" w:name="xdx_401_eus-gaap--NetCashProvidedByUsedI"/>
            <w:bookmarkEnd w:id="200"/>
          </w:p>
        </w:tc>
      </w:tr>
      <w:tr>
        <w:trPr/>
        <w:tc>
          <w:tcPr>
            <w:tcW w:w="5371"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pPr>
            <w:r>
              <w:rPr/>
              <w:t>8,892</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3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bookmarkStart w:id="201" w:name="xdx_40E_eus-gaap--EffectOfExchangeRateOn"/>
            <w:bookmarkEnd w:id="201"/>
          </w:p>
        </w:tc>
      </w:tr>
      <w:tr>
        <w:trPr/>
        <w:tc>
          <w:tcPr>
            <w:tcW w:w="5371"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6" w:type="dxa"/>
            <w:tcBorders/>
            <w:shd w:fill="CCEEFF" w:val="clear"/>
            <w:vAlign w:val="center"/>
          </w:tcPr>
          <w:p>
            <w:pPr>
              <w:pStyle w:val="TableContents"/>
              <w:bidi w:val="0"/>
              <w:spacing w:before="0" w:after="283"/>
              <w:ind w:left="0" w:right="0" w:hanging="180"/>
              <w:jc w:val="left"/>
              <w:rPr/>
            </w:pPr>
            <w:r>
              <w:rPr/>
              <w:t> </w:t>
            </w:r>
            <w:bookmarkStart w:id="202" w:name="xdx_40B_eus-gaap--CashCashEquivalentsRes"/>
            <w:bookmarkEnd w:id="202"/>
          </w:p>
        </w:tc>
      </w:tr>
      <w:tr>
        <w:trPr/>
        <w:tc>
          <w:tcPr>
            <w:tcW w:w="5371" w:type="dxa"/>
            <w:tcBorders/>
            <w:shd w:fill="FFFFFF" w:val="clear"/>
            <w:vAlign w:val="center"/>
          </w:tcPr>
          <w:p>
            <w:pPr>
              <w:pStyle w:val="TableContents"/>
              <w:bidi w:val="0"/>
              <w:spacing w:before="0" w:after="283"/>
              <w:jc w:val="left"/>
              <w:rPr/>
            </w:pPr>
            <w:r>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(672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5,221</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3,695</w:t>
            </w:r>
          </w:p>
        </w:tc>
        <w:tc>
          <w:tcPr>
            <w:tcW w:w="96" w:type="dxa"/>
            <w:tcBorders/>
            <w:shd w:fill="FFFFFF" w:val="clear"/>
            <w:vAlign w:val="center"/>
          </w:tcPr>
          <w:p>
            <w:pPr>
              <w:pStyle w:val="TableContents"/>
              <w:bidi w:val="0"/>
              <w:spacing w:before="0" w:after="283"/>
              <w:ind w:left="0" w:right="0" w:hanging="180"/>
              <w:jc w:val="left"/>
              <w:rPr/>
            </w:pPr>
            <w:r>
              <w:rPr/>
              <w:t> </w:t>
            </w:r>
            <w:bookmarkStart w:id="203" w:name="xdx_409_eus-gaap--CashCashEquivalentsRes"/>
            <w:bookmarkEnd w:id="203"/>
          </w:p>
        </w:tc>
      </w:tr>
      <w:tr>
        <w:trPr/>
        <w:tc>
          <w:tcPr>
            <w:tcW w:w="5371"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6,275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1,503</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6,308</w:t>
            </w:r>
          </w:p>
        </w:tc>
        <w:tc>
          <w:tcPr>
            <w:tcW w:w="96" w:type="dxa"/>
            <w:tcBorders/>
            <w:shd w:fill="CCEEFF" w:val="clear"/>
            <w:vAlign w:val="center"/>
          </w:tcPr>
          <w:p>
            <w:pPr>
              <w:pStyle w:val="TableContents"/>
              <w:bidi w:val="0"/>
              <w:spacing w:before="0" w:after="283"/>
              <w:ind w:left="0" w:right="0" w:hanging="180"/>
              <w:jc w:val="left"/>
              <w:rPr/>
            </w:pPr>
            <w:r>
              <w:rPr/>
              <w:t> </w:t>
            </w:r>
            <w:bookmarkStart w:id="204" w:name="xdx_405_eus-gaap--CashCashEquivalentsRes"/>
            <w:bookmarkEnd w:id="204"/>
          </w:p>
        </w:tc>
      </w:tr>
      <w:tr>
        <w:trPr/>
        <w:tc>
          <w:tcPr>
            <w:tcW w:w="5371" w:type="dxa"/>
            <w:tcBorders/>
            <w:shd w:fill="FFFFFF" w:val="clear"/>
            <w:vAlign w:val="center"/>
          </w:tcPr>
          <w:p>
            <w:pPr>
              <w:pStyle w:val="TableContents"/>
              <w:bidi w:val="0"/>
              <w:spacing w:before="0" w:after="283"/>
              <w:jc w:val="left"/>
              <w:rPr/>
            </w:pPr>
            <w:r>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6,724</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10,003</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5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bookmarkStart w:id="205" w:name="xdx_403_eus-gaap--SupplementalCashFlowIn"/>
            <w:bookmarkEnd w:id="205"/>
          </w:p>
        </w:tc>
      </w:tr>
      <w:tr>
        <w:trPr/>
        <w:tc>
          <w:tcPr>
            <w:tcW w:w="5371"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bookmarkStart w:id="206" w:name="xdx_400_eus-gaap--IncomeTaxesPaid_i01_zi"/>
            <w:bookmarkEnd w:id="206"/>
          </w:p>
        </w:tc>
      </w:tr>
      <w:tr>
        <w:trPr/>
        <w:tc>
          <w:tcPr>
            <w:tcW w:w="5371" w:type="dxa"/>
            <w:tcBorders/>
            <w:shd w:fill="CCEEFF" w:val="clear"/>
            <w:vAlign w:val="center"/>
          </w:tcPr>
          <w:p>
            <w:pPr>
              <w:pStyle w:val="TableContents"/>
              <w:bidi w:val="0"/>
              <w:spacing w:before="0" w:after="283"/>
              <w:jc w:val="left"/>
              <w:rPr/>
            </w:pPr>
            <w:r>
              <w:rPr/>
              <w:t>Cash paid for taxes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bookmarkStart w:id="207" w:name="xdx_401_eus-gaap--InterestPaidCapitalize"/>
            <w:bookmarkEnd w:id="207"/>
          </w:p>
        </w:tc>
      </w:tr>
      <w:tr>
        <w:trPr/>
        <w:tc>
          <w:tcPr>
            <w:tcW w:w="5371"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53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bookmarkStart w:id="208" w:name="xdx_40D_eus-gaap--CashFlowNoncashInvesti"/>
            <w:bookmarkEnd w:id="208"/>
          </w:p>
        </w:tc>
      </w:tr>
      <w:tr>
        <w:trPr/>
        <w:tc>
          <w:tcPr>
            <w:tcW w:w="5371" w:type="dxa"/>
            <w:tcBorders/>
            <w:shd w:fill="FFFFFF" w:val="clear"/>
            <w:vAlign w:val="center"/>
          </w:tcPr>
          <w:p>
            <w:pPr>
              <w:pStyle w:val="TableContents"/>
              <w:bidi w:val="0"/>
              <w:spacing w:before="0" w:after="283"/>
              <w:jc w:val="left"/>
              <w:rPr>
                <w:b/>
              </w:rPr>
            </w:pPr>
            <w:r>
              <w:rPr>
                <w:b/>
              </w:rPr>
              <w:t>Supplemental schedule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bookmarkStart w:id="209" w:name="xdx_402_ecustom--NoncashDistribution_i01"/>
            <w:bookmarkEnd w:id="209"/>
          </w:p>
        </w:tc>
      </w:tr>
      <w:tr>
        <w:trPr/>
        <w:tc>
          <w:tcPr>
            <w:tcW w:w="5371" w:type="dxa"/>
            <w:tcBorders/>
            <w:shd w:fill="CCEEFF" w:val="clear"/>
            <w:vAlign w:val="center"/>
          </w:tcPr>
          <w:p>
            <w:pPr>
              <w:pStyle w:val="TableContents"/>
              <w:bidi w:val="0"/>
              <w:spacing w:before="0" w:after="283"/>
              <w:jc w:val="left"/>
              <w:rPr/>
            </w:pPr>
            <w:r>
              <w:rPr/>
              <w:t>Noncash investment from parent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pPr>
            <w:r>
              <w:rPr/>
              <w:t>409</w:t>
            </w:r>
          </w:p>
        </w:tc>
        <w:tc>
          <w:tcPr>
            <w:tcW w:w="96" w:type="dxa"/>
            <w:tcBorders/>
            <w:shd w:fill="CCEEFF" w:val="clear"/>
            <w:vAlign w:val="center"/>
          </w:tcPr>
          <w:p>
            <w:pPr>
              <w:pStyle w:val="TableContents"/>
              <w:bidi w:val="0"/>
              <w:spacing w:before="0" w:after="283"/>
              <w:ind w:left="0" w:right="0" w:hanging="180"/>
              <w:jc w:val="left"/>
              <w:rPr/>
            </w:pPr>
            <w:r>
              <w:rPr/>
              <w:t> </w:t>
            </w:r>
            <w:bookmarkStart w:id="210" w:name="xdx_405_ecustom--ClassCommonStockAndClas"/>
            <w:bookmarkEnd w:id="210"/>
          </w:p>
        </w:tc>
      </w:tr>
      <w:tr>
        <w:trPr/>
        <w:tc>
          <w:tcPr>
            <w:tcW w:w="5371" w:type="dxa"/>
            <w:tcBorders/>
            <w:shd w:fill="FFFFFF" w:val="clear"/>
            <w:vAlign w:val="center"/>
          </w:tcPr>
          <w:p>
            <w:pPr>
              <w:pStyle w:val="TableContents"/>
              <w:bidi w:val="0"/>
              <w:spacing w:before="0" w:after="283"/>
              <w:jc w:val="left"/>
              <w:rPr/>
            </w:pPr>
            <w:r>
              <w:rPr/>
              <w:t>Class A Common Stock and Class C Common Stock issued in connection with Business Combination</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69,928</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180"/>
              <w:jc w:val="left"/>
              <w:rPr/>
            </w:pPr>
            <w:r>
              <w:rPr/>
              <w:t> </w:t>
            </w:r>
            <w:bookmarkStart w:id="211" w:name="xdx_40E_ecustom--FinancingOfDirectorAndO"/>
            <w:bookmarkEnd w:id="211"/>
          </w:p>
        </w:tc>
      </w:tr>
      <w:tr>
        <w:trPr/>
        <w:tc>
          <w:tcPr>
            <w:tcW w:w="5371" w:type="dxa"/>
            <w:tcBorders/>
            <w:shd w:fill="CCEEFF" w:val="clear"/>
            <w:vAlign w:val="center"/>
          </w:tcPr>
          <w:p>
            <w:pPr>
              <w:pStyle w:val="TableContents"/>
              <w:bidi w:val="0"/>
              <w:spacing w:before="0" w:after="283"/>
              <w:jc w:val="left"/>
              <w:rPr/>
            </w:pPr>
            <w:r>
              <w:rPr/>
              <w:t>Financing of Director and Officer Insurance</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537</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2" w:name="a_007"/>
      <w:bookmarkEnd w:id="212"/>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13" w:name="xdx_80A_eus-gaap--BusinessDescriptionAnd"/>
      <w:bookmarkEnd w:id="213"/>
      <w:r>
        <w:rPr>
          <w:rFonts w:ascii="Times New Roman;Times;Serif" w:hAnsi="Times New Roman;Times;Serif"/>
          <w:b/>
          <w:i w:val="false"/>
          <w:caps w:val="false"/>
          <w:smallCaps w:val="false"/>
          <w:sz w:val="20"/>
        </w:rPr>
        <w:t xml:space="preserve">NOTE 1 – </w:t>
      </w:r>
      <w:bookmarkStart w:id="214" w:name="xdx_821_zAsOmvUcP3Xf"/>
      <w:bookmarkEnd w:id="214"/>
      <w:r>
        <w:rPr>
          <w:rFonts w:ascii="Times New Roman;Times;Serif" w:hAnsi="Times New Roman;Times;Serif"/>
          <w:b/>
          <w:i w:val="false"/>
          <w:caps w:val="false"/>
          <w:smallCaps w:val="false"/>
          <w:sz w:val="20"/>
        </w:rPr>
        <w:t>Organization, Nature of Business and 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Inc. and its subsidiaries (“CXApp” or the “Company”) is in the business of delivering intelligent enterprise workplace experiences. The CXApp SaaS platform is anchored on the intersection of customer experience (CX) and artificial intelligence (AI) providing digital transformation for the physical workplace for enhanced experiences across people, places and things.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CXApp SaaS platform offers a suite of leading-edge technology workplace experience solutions including an enterprise employee application, indoor mapping, on-device positioning, augmented reality technologies, generative AI applications and an AI-based analytics platform, targeting the emerging hybrid workplace market. CXApp creates a connected workplace by reducing app overload, data fragmentation, and complex workflows and streamlines all capabilities through The Workplace SuperApp. All features, services and integrations are housed in one easy-to-access platform allowing businesses to deliver a more holistic employee experience in a hybrid workplace.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2022, an Agreement and Plan of Merger (the “Merger Agreement”), was entered into by and among Inpixon, KINS, CXApp, and KINS Merger Sub Inc., a Delaware corporation and a wholly-owned subsidiary of KINS (“Merger Sub”), pursuant to which KINS acquired Inpixon’s enterprise apps business (including its workplace experience technologies, indoor mapping, events platform, augmented reality and related business solutions) (“Legacy CXApp”) in exchange for the issuance of shares of KINS capital stock (the “Business Combination”). As a result of the Business Combination, KINS changed their name to CXApp Inc. (“CXApp”). The shares are now trading on the Nasdaq using the ticker CXAI. The transaction closed on March 14, 2023. See Note 3 for more details.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“we,” “us,” “our,” “CXApp” and the “Company” refer to CXApp Inc., a Delaware corporation, and its consolidated subsidiaries following the Business Combination (as defined below). Unless the context otherwise requires, references to “KINS” refer to KINS Technology Group Inc., a Delaware corporation (“KINS”), prior to the Business Combination. All references herein to the “Board” refer to the board of directors of the Company. “Legacy CXApp” refers to CXApp Holding Corp., a Delaware corporation and a wholly owned subsidiary of the Company, which the Company acquired through the Business Combination. Prior to the Separation (as defined below), Legacy CXApp was a wholly owned subsidiary of Inpixon, a Nevada corporation (“Inpixon”).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using the acquisition method (as a forward merger), with goodwill and other identifiable intangible assets recorded in accordance with GAAP, as applicable. Under this method of accounting, the “Enterprise Apps Business” (formerly known as CXApp) is treated as the “acquired” company for financial reporting purposes. KINS (now known as CXApp Inc.) has been determined to be the accounting acquirer because KINS maintains control of the Board of Directors and management of the combined company.</w:t>
      </w:r>
    </w:p>
    <w:p>
      <w:pPr>
        <w:pStyle w:val="TextBody"/>
        <w:bidi w:val="0"/>
        <w:jc w:val="left"/>
        <w:rPr>
          <w:caps w:val="false"/>
          <w:smallCaps w:val="false"/>
        </w:rPr>
      </w:pPr>
      <w:bookmarkStart w:id="215" w:name="xdx_239_zpWfcmrfSN23"/>
      <w:bookmarkEnd w:id="215"/>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jc w:val="left"/>
        <w:rPr>
          <w:caps w:val="false"/>
          <w:smallCaps w:val="false"/>
        </w:rPr>
      </w:pPr>
      <w:bookmarkStart w:id="216" w:name="xdx_237_zC0cNw6ZxtA7"/>
      <w:bookmarkEnd w:id="216"/>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7" w:name="xdx_234_zIRXeOJXWXHc"/>
      <w:bookmarkEnd w:id="217"/>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18" w:name="xdx_809_eus-gaap--SignificantAccountingP"/>
      <w:bookmarkEnd w:id="218"/>
      <w:r>
        <w:rPr>
          <w:rFonts w:ascii="Times New Roman;Times;Serif" w:hAnsi="Times New Roman;Times;Serif"/>
          <w:b/>
          <w:i w:val="false"/>
          <w:caps w:val="false"/>
          <w:smallCaps w:val="false"/>
          <w:sz w:val="20"/>
        </w:rPr>
        <w:t xml:space="preserve">NOTE 2 – </w:t>
      </w:r>
      <w:bookmarkStart w:id="219" w:name="xdx_82E_zDneQo0Jl9K1"/>
      <w:bookmarkEnd w:id="219"/>
      <w:r>
        <w:rPr>
          <w:rFonts w:ascii="Times New Roman;Times;Serif" w:hAnsi="Times New Roman;Times;Serif"/>
          <w:b/>
          <w:i w:val="false"/>
          <w:caps w:val="false"/>
          <w:smallCaps w:val="false"/>
          <w:sz w:val="20"/>
        </w:rPr>
        <w:t>Summary of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20" w:name="xdx_863_zGCRUvAZZ182"/>
      <w:bookmarkStart w:id="221" w:name="xdx_842_ecustom--LiquidityAndGoingConcer"/>
      <w:bookmarkEnd w:id="220"/>
      <w:bookmarkEnd w:id="221"/>
      <w:r>
        <w:rPr>
          <w:rFonts w:ascii="Times New Roman;Times;Serif" w:hAnsi="Times New Roman;Times;Serif"/>
          <w:b/>
          <w:i/>
          <w:caps w:val="false"/>
          <w:smallCaps w:val="false"/>
          <w:sz w:val="20"/>
        </w:rPr>
        <w:t>Liquidity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(Successor), the Company had a working capital deficiency of approximately $</w:t>
      </w:r>
      <w:bookmarkStart w:id="222" w:name="xdx_90F_ecustom--WorkingCapital_c2024033"/>
      <w:bookmarkEnd w:id="222"/>
      <w:r>
        <w:rPr>
          <w:rFonts w:ascii="Times New Roman;Times;Serif" w:hAnsi="Times New Roman;Times;Serif"/>
          <w:b w:val="false"/>
          <w:i w:val="false"/>
          <w:caps w:val="false"/>
          <w:smallCaps w:val="false"/>
          <w:sz w:val="20"/>
        </w:rPr>
        <w:t>5,280 thousand and cash and cash equivalents of approximately $</w:t>
      </w:r>
      <w:bookmarkStart w:id="223" w:name="xdx_903_eus-gaap--CashAndCashEquivalents"/>
      <w:bookmarkEnd w:id="223"/>
      <w:r>
        <w:rPr>
          <w:rFonts w:ascii="Times New Roman;Times;Serif" w:hAnsi="Times New Roman;Times;Serif"/>
          <w:b w:val="false"/>
          <w:i w:val="false"/>
          <w:caps w:val="false"/>
          <w:smallCaps w:val="false"/>
          <w:sz w:val="20"/>
        </w:rPr>
        <w:t>5,603 thousand. For the three months ended March 31, 2024 (Successor), the Company incurred net loss of approximately $</w:t>
      </w:r>
      <w:bookmarkStart w:id="224" w:name="xdx_90C_eus-gaap--NetIncomeLoss_iN_pn3n3"/>
      <w:bookmarkEnd w:id="224"/>
      <w:r>
        <w:rPr>
          <w:rFonts w:ascii="Times New Roman;Times;Serif" w:hAnsi="Times New Roman;Times;Serif"/>
          <w:b w:val="false"/>
          <w:i w:val="false"/>
          <w:caps w:val="false"/>
          <w:smallCaps w:val="false"/>
          <w:sz w:val="20"/>
        </w:rPr>
        <w:t>5,170 thousand and used approximately $</w:t>
      </w:r>
      <w:bookmarkStart w:id="225" w:name="xdx_900_eus-gaap--NetCashProvidedByUsedI"/>
      <w:bookmarkEnd w:id="225"/>
      <w:r>
        <w:rPr>
          <w:rFonts w:ascii="Times New Roman;Times;Serif" w:hAnsi="Times New Roman;Times;Serif"/>
          <w:b w:val="false"/>
          <w:i w:val="false"/>
          <w:caps w:val="false"/>
          <w:smallCaps w:val="false"/>
          <w:sz w:val="20"/>
        </w:rPr>
        <w:t>650 thousand of cash for operating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cannot assure that it will ever earn revenues sufficient to support their operations, or that it will ever achieve profitable operations. The Company’s recurring losses and utilization of cash in its operations are indicators of substantial doubt that the entity can continue as a going concern however, with the Company’s current liquidity position the Company has taken the following steps to achieve efficient operations: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the Company streamlined its operations to conserve cash resources by laying off approximately 20% of the global employee headcount;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Google agreed to add the CXAI application platform to the Google Marketplace and signed a go-to-market partnership agreement. Google Cloud’s sales and marketing teams will work with CXAI on targeting key clients and providing them the best workplace platform experience. With this, the Management believes that this partnership would help boost the Company’s product capability revenue; and</w:t>
            </w:r>
          </w:p>
        </w:tc>
      </w:tr>
    </w:tbl>
    <w:p>
      <w:pPr>
        <w:pStyle w:val="TextBody"/>
        <w:bidi w:val="0"/>
        <w:spacing w:before="0" w:after="0"/>
        <w:jc w:val="left"/>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7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successfully negotiated for a 50% reduction in D&amp;O insurance premium.</w:t>
            </w:r>
          </w:p>
        </w:tc>
      </w:tr>
    </w:tbl>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22, 2024, the </w:t>
      </w:r>
      <w:bookmarkStart w:id="226" w:name="xdx_901_ecustom--EquityLineFinancingAgre"/>
      <w:bookmarkEnd w:id="226"/>
      <w:r>
        <w:rPr>
          <w:rFonts w:ascii="Times New Roman;Times;Serif" w:hAnsi="Times New Roman;Times;Serif"/>
          <w:b w:val="false"/>
          <w:i w:val="false"/>
          <w:caps w:val="false"/>
          <w:smallCaps w:val="false"/>
          <w:sz w:val="20"/>
        </w:rPr>
        <w:t>Company entered into an equity line financing agreement for up to $10,000 thousand, with an initial draw of $2,500 thousand in the second quarter of 2024. The Company also managed to raise $3,000 thousand, in December 2023, under a promissory note payable by December 2024. The Management believes that these funding have the ability to mitigate any going concern indicators for a period of at least one year from the date these financial statements are issued.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Company to continue as a going concern is dependent upon the Company’s ability to further implement its business plan. The accompanying unaudited condensed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27" w:name="xdx_865_zJoNyZbem5S8"/>
      <w:bookmarkStart w:id="228" w:name="xdx_84A_eus-gaap--BasisOfAccountingPolic"/>
      <w:bookmarkEnd w:id="227"/>
      <w:bookmarkEnd w:id="228"/>
      <w:r>
        <w:rPr>
          <w:rFonts w:ascii="Times New Roman;Times;Serif" w:hAnsi="Times New Roman;Times;Serif"/>
          <w:b/>
          <w:i/>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in accordance with accounting principles generally accepted in the United States of America (“U.S. GAAP”) for interim financial information and the requirements of the Securities and Exchange Commission (the “SEC”) for interim reporting. Accordingly, since they are interim statements, they do not include all of the information and disclosures required by GAAP for complete financial statements. In the opinion of management, all adjustments (consisting of normal recurring accruals) considered necessary for a fair presentation have been included. Operating results for the three months ended March 31, 2024 are not necessarily indicative of the results that may be expected for other quarters or the year ending December 31, 2024. The condensed consolidated balance sheet as of December 31, 2023 has been derived from the audited financial statements as of that date. For more complete financial information, these condensed consolidated financial statements and the notes thereto should be read in conjunction with the audited financial statements included in our Annual Report on Form 10-K for the year ended December 31, 2023, which was filed with the SEC on May 23,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29" w:name="xdx_869_zsGJT9kC3ula"/>
      <w:bookmarkStart w:id="230" w:name="xdx_840_eus-gaap--ConsolidationPolicyTex"/>
      <w:bookmarkEnd w:id="229"/>
      <w:bookmarkEnd w:id="230"/>
      <w:r>
        <w:rPr>
          <w:rFonts w:ascii="Times New Roman;Times;Serif" w:hAnsi="Times New Roman;Times;Serif"/>
          <w:b/>
          <w:i/>
          <w:caps w:val="false"/>
          <w:smallCaps w:val="false"/>
          <w:sz w:val="20"/>
        </w:rPr>
        <w:t xml:space="preserve">Principles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the accounts of the Company and its wholly-owned subsidiaries. All intercompany balances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31" w:name="xdx_869_zMeBxZ8rtQf7"/>
      <w:bookmarkStart w:id="232" w:name="xdx_842_eus-gaap--UseOfEstimates_z1YJRlb"/>
      <w:bookmarkEnd w:id="231"/>
      <w:bookmarkEnd w:id="232"/>
      <w:r>
        <w:rPr>
          <w:rFonts w:ascii="Times New Roman;Times;Serif" w:hAnsi="Times New Roman;Times;Serif"/>
          <w:b/>
          <w:i/>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each of the reporting periods. Actual results could differ from those estimates. The Company’s significant estimates consist of:</w:t>
      </w:r>
    </w:p>
    <w:p>
      <w:pPr>
        <w:pStyle w:val="TextBody"/>
        <w:bidi w:val="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stock-based compensation;</w:t>
            </w:r>
          </w:p>
        </w:tc>
      </w:tr>
    </w:tbl>
    <w:p>
      <w:pPr>
        <w:pStyle w:val="TextBody"/>
        <w:bidi w:val="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
        <w:gridCol w:w="170"/>
        <w:gridCol w:w="284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warrant liabilities;</w:t>
            </w:r>
          </w:p>
        </w:tc>
      </w:tr>
    </w:tbl>
    <w:p>
      <w:pPr>
        <w:pStyle w:val="TextBody"/>
        <w:bidi w:val="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170"/>
        <w:gridCol w:w="251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w:t>
            </w:r>
          </w:p>
        </w:tc>
      </w:tr>
    </w:tbl>
    <w:p>
      <w:pPr>
        <w:pStyle w:val="TextBody"/>
        <w:bidi w:val="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60"/>
        <w:gridCol w:w="170"/>
        <w:gridCol w:w="416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allowance for deferred tax assets; and</w:t>
            </w:r>
          </w:p>
        </w:tc>
      </w:tr>
    </w:tbl>
    <w:p>
      <w:pPr>
        <w:pStyle w:val="TextBody"/>
        <w:bidi w:val="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 and goodwill.</w:t>
            </w:r>
          </w:p>
        </w:tc>
      </w:tr>
    </w:tbl>
    <w:p>
      <w:pPr>
        <w:pStyle w:val="TextBody"/>
        <w:bidi w:val="0"/>
        <w:jc w:val="left"/>
        <w:rPr>
          <w:caps w:val="false"/>
          <w:smallCaps w:val="false"/>
        </w:rPr>
      </w:pPr>
      <w:bookmarkStart w:id="233" w:name="xdx_23F_zaK3JFxTMx23"/>
      <w:bookmarkEnd w:id="233"/>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jc w:val="left"/>
        <w:rPr>
          <w:caps w:val="false"/>
          <w:smallCaps w:val="false"/>
        </w:rPr>
      </w:pPr>
      <w:bookmarkStart w:id="234" w:name="xdx_231_z1jpiU4q3Fie"/>
      <w:bookmarkEnd w:id="234"/>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35" w:name="xdx_23A_zUkKrG8lI7Kk"/>
      <w:bookmarkEnd w:id="235"/>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36" w:name="xdx_86B_zM6NAIDS2fBc"/>
      <w:bookmarkStart w:id="237" w:name="xdx_84D_eus-gaap--CashAndCashEquivalents"/>
      <w:bookmarkEnd w:id="236"/>
      <w:bookmarkEnd w:id="237"/>
      <w:r>
        <w:rPr>
          <w:rFonts w:ascii="Times New Roman;Times;Serif" w:hAnsi="Times New Roman;Times;Serif"/>
          <w:b/>
          <w:i/>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and cash equivalents consist of cash, checking accounts, money market accounts, temporary investments and certificates of deposit with maturities of three months or less when purchased. </w:t>
      </w:r>
      <w:bookmarkStart w:id="238" w:name="xdx_904_ecustom--CashAndCashEquivalentsD"/>
      <w:bookmarkEnd w:id="238"/>
      <w:r>
        <w:rPr>
          <w:rFonts w:ascii="Times New Roman;Times;Serif" w:hAnsi="Times New Roman;Times;Serif"/>
          <w:b w:val="false"/>
          <w:i w:val="false"/>
          <w:caps w:val="false"/>
          <w:smallCaps w:val="false"/>
          <w:sz w:val="20"/>
        </w:rPr>
        <w:t>As of March 31, 2024 (Successor), the Company had cash equivalents of approximately $4,916 thousand of certificates of deposit held by a number of banks limited to $250 thousand per bank with a duration of 90 days or less. As of December 31, 2023 (Successor), the Company had $</w:t>
      </w:r>
      <w:bookmarkStart w:id="239" w:name="xdx_90C_eus-gaap--CashEquivalentsAtCarry"/>
      <w:bookmarkEnd w:id="239"/>
      <w:r>
        <w:rPr>
          <w:rFonts w:ascii="Times New Roman;Times;Serif" w:hAnsi="Times New Roman;Times;Serif"/>
          <w:b w:val="false"/>
          <w:i w:val="false"/>
          <w:caps w:val="false"/>
          <w:smallCaps w:val="false"/>
          <w:sz w:val="20"/>
        </w:rPr>
        <w:t>5,584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40" w:name="xdx_861_zB4UwXvcrkB8"/>
      <w:bookmarkStart w:id="241" w:name="xdx_845_eus-gaap--ReceivablesPolicyTextB"/>
      <w:bookmarkEnd w:id="240"/>
      <w:bookmarkEnd w:id="241"/>
      <w:r>
        <w:rPr>
          <w:rFonts w:ascii="Times New Roman;Times;Serif" w:hAnsi="Times New Roman;Times;Serif"/>
          <w:b/>
          <w:i/>
          <w:caps w:val="false"/>
          <w:smallCaps w:val="false"/>
          <w:sz w:val="20"/>
        </w:rPr>
        <w:t>Accounts Receivable, net and Allowance for Credit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are stated at the amount the Company expects to collect. The Company recognizes an allowance for credit losses to ensure accounts receivables are not overstated due to uncollectability. Allowance for credit losses are maintained for various customers based on a variety of factors, including the length of time the receivables are past due, significant one-time events and historical experience. An additional reserve for individual accounts is recorded when the Company becomes aware of a customer’s inability to meet its financial obligation, such as in the case of bankruptcy filings, or deterioration in such customer’s operating results or financial position. If circumstances related to a customer change, estimates of the recoverability of receivables would be further adjusted. The Company’s allowance for credit losses is approximately $</w:t>
      </w:r>
      <w:bookmarkStart w:id="242" w:name="xdx_90E_eus-gaap--AllowanceForDoubtfulAc"/>
      <w:bookmarkStart w:id="243" w:name="xdx_907_eus-gaap--AllowanceForDoubtfulAc"/>
      <w:bookmarkEnd w:id="242"/>
      <w:bookmarkEnd w:id="243"/>
      <w:r>
        <w:rPr>
          <w:rFonts w:ascii="Times New Roman;Times;Serif" w:hAnsi="Times New Roman;Times;Serif"/>
          <w:b w:val="false"/>
          <w:i w:val="false"/>
          <w:caps w:val="false"/>
          <w:smallCaps w:val="false"/>
          <w:sz w:val="20"/>
        </w:rPr>
        <w:t>2 thousand as of March 31, 2024 (Successor) and December 31, 2023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44" w:name="xdx_866_znEQtF65hyJ5"/>
      <w:bookmarkStart w:id="245" w:name="xdx_842_eus-gaap--PropertyPlantAndEquipm"/>
      <w:bookmarkEnd w:id="244"/>
      <w:bookmarkEnd w:id="245"/>
      <w:r>
        <w:rPr>
          <w:rFonts w:ascii="Times New Roman;Times;Serif" w:hAnsi="Times New Roman;Times;Serif"/>
          <w:b/>
          <w:i/>
          <w:caps w:val="false"/>
          <w:smallCaps w:val="false"/>
          <w:sz w:val="20"/>
        </w:rPr>
        <w:t>Property and Equipment,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are recorded at cost, less accumulated depreciation and amortization. The Company depreciates its property and equipment for financial reporting purposes using the straight-line method over the estimated useful lives of the assets, which range from </w:t>
      </w:r>
      <w:bookmarkStart w:id="246" w:name="xdx_908_eus-gaap--PropertyPlantAndEquipm"/>
      <w:bookmarkEnd w:id="246"/>
      <w:r>
        <w:rPr>
          <w:rFonts w:ascii="Times New Roman;Times;Serif" w:hAnsi="Times New Roman;Times;Serif"/>
          <w:b w:val="false"/>
          <w:i w:val="false"/>
          <w:caps w:val="false"/>
          <w:smallCaps w:val="false"/>
          <w:sz w:val="20"/>
        </w:rPr>
        <w:t xml:space="preserve">5 to </w:t>
      </w:r>
      <w:bookmarkStart w:id="247" w:name="xdx_90A_eus-gaap--PropertyPlantAndEquipm"/>
      <w:bookmarkEnd w:id="247"/>
      <w:r>
        <w:rPr>
          <w:rFonts w:ascii="Times New Roman;Times;Serif" w:hAnsi="Times New Roman;Times;Serif"/>
          <w:b w:val="false"/>
          <w:i w:val="false"/>
          <w:caps w:val="false"/>
          <w:smallCaps w:val="false"/>
          <w:sz w:val="20"/>
        </w:rPr>
        <w:t>10 years. Leasehold improvements are amortized over the lesser of the useful life of the asset or the initial lease term. Expenditures for maintenance and repairs, which do not extend the economic useful life of the related assets, are charged to operations as incurred, and expenditures, which extend the economic life, are capitalized. When assets are retired, or otherwise disposed of, the costs and related accumulated depreciation or amortization are removed from the accounts and any gain or loss on disposal is recognized.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48" w:name="xdx_869_zn7cSSo4AzR8"/>
      <w:bookmarkStart w:id="249" w:name="xdx_841_eus-gaap--IntangibleAssetsFinite"/>
      <w:bookmarkEnd w:id="248"/>
      <w:bookmarkEnd w:id="249"/>
      <w:r>
        <w:rPr>
          <w:rFonts w:ascii="Times New Roman;Times;Serif" w:hAnsi="Times New Roman;Times;Serif"/>
          <w:b/>
          <w:i/>
          <w:caps w:val="false"/>
          <w:smallCaps w:val="false"/>
          <w:sz w:val="20"/>
        </w:rPr>
        <w:t>Intangible Assets,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primarily consist of developed technology, customer lists/relationships, intellectual property agreements, export licenses and trade names/trademarks. They are amortized ratably over a range of </w:t>
      </w:r>
      <w:bookmarkStart w:id="250" w:name="xdx_90B_eus-gaap--FiniteLivedIntangibleA"/>
      <w:bookmarkEnd w:id="250"/>
      <w:r>
        <w:rPr>
          <w:rFonts w:ascii="Times New Roman;Times;Serif" w:hAnsi="Times New Roman;Times;Serif"/>
          <w:b w:val="false"/>
          <w:i w:val="false"/>
          <w:caps w:val="false"/>
          <w:smallCaps w:val="false"/>
          <w:sz w:val="20"/>
        </w:rPr>
        <w:t xml:space="preserve">5 to </w:t>
      </w:r>
      <w:bookmarkStart w:id="251" w:name="xdx_90B_eus-gaap--FiniteLivedIntangibleA"/>
      <w:bookmarkEnd w:id="251"/>
      <w:r>
        <w:rPr>
          <w:rFonts w:ascii="Times New Roman;Times;Serif" w:hAnsi="Times New Roman;Times;Serif"/>
          <w:b w:val="false"/>
          <w:i w:val="false"/>
          <w:caps w:val="false"/>
          <w:smallCaps w:val="false"/>
          <w:sz w:val="20"/>
        </w:rPr>
        <w:t>10 years, which approximates customer attrition rate and technology obsolescence. The Company assesses the carrying value of its intangible assets for impairment annually, or more frequently if an event or other circumstances indicates that the Company may not be able to recover the carrying amount of the assets. Based on its assessments, the Company did not incur any impairment charges for the for the three months ended March 31, 2024 (Successor), for the period from March 15, 2023 to March 31, 2023 (Successor), and for the period from January 1, 2023 to March 14, 2023 (Predecessor).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52" w:name="xdx_867_zGfx1O8raAw1"/>
      <w:bookmarkStart w:id="253" w:name="xdx_843_eus-gaap--GoodwillAndIntangibleA"/>
      <w:bookmarkEnd w:id="252"/>
      <w:bookmarkEnd w:id="253"/>
      <w:r>
        <w:rPr>
          <w:rFonts w:ascii="Times New Roman;Times;Serif" w:hAnsi="Times New Roman;Times;Serif"/>
          <w:b/>
          <w:i/>
          <w:caps w:val="false"/>
          <w:smallCaps w:val="false"/>
          <w:sz w:val="20"/>
        </w:rPr>
        <w:t>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tests goodwill for potential impairment at least annually, or more frequently if an event or other circumstance indicates that the Company may not be able to recover the carrying amount of the net assets of the reporting unit. The Company has determined that the reporting unit is the entire company, due to the integration of all of the Company’s activities. In evaluating goodwill for impairment, the Company may assess qualitative factors to determine whether it is more likely than not (that is, a likelihood of more than 50%) that the fair value of a reporting unit is less than its carrying amount. If the Company bypasses the qualitative assessment, or if the Company concludes that it is more likely than not that the fair value of a reporting unit is less than its carrying value, then the Company performs a quantitative impairment test by comparing the fair value of a reporting unit with its carrying amount.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calculates the estimated fair value of a reporting unit using a weighting of the income and market approaches. For the income approach, the Company uses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the Company uses internal analyses based primarily on market comparables, including public company method, guideline transaction method, and market price method. The Company bases these assumptions on its historical data and experience, third party appraisals, industry projections, micro and macro general economic condition projections, and its expectations. Based on its assessments, the Company did </w:t>
      </w:r>
      <w:bookmarkStart w:id="254" w:name="xdx_90B_eus-gaap--OtherAssetImpairmentCh"/>
      <w:bookmarkStart w:id="255" w:name="xdx_90E_eus-gaap--OtherAssetImpairmentCh"/>
      <w:bookmarkStart w:id="256" w:name="xdx_90D_eus-gaap--OtherAssetImpairmentCh"/>
      <w:bookmarkEnd w:id="254"/>
      <w:bookmarkEnd w:id="255"/>
      <w:bookmarkEnd w:id="256"/>
      <w:r>
        <w:rPr>
          <w:rFonts w:ascii="Times New Roman;Times;Serif" w:hAnsi="Times New Roman;Times;Serif"/>
          <w:b w:val="false"/>
          <w:i w:val="false"/>
          <w:caps w:val="false"/>
          <w:smallCaps w:val="false"/>
          <w:sz w:val="20"/>
        </w:rPr>
        <w:t>not incur any impairment charges for the three months ended March 31, 2024 (Successor), for the period from March 15, 2023 to March 31, 2023 (Successor), and for the period from January 1, 2023 to March 14, 2023 (Predecessor).</w:t>
      </w:r>
    </w:p>
    <w:p>
      <w:pPr>
        <w:pStyle w:val="TextBody"/>
        <w:bidi w:val="0"/>
        <w:jc w:val="left"/>
        <w:rPr>
          <w:caps w:val="false"/>
          <w:smallCaps w:val="false"/>
        </w:rPr>
      </w:pPr>
      <w:bookmarkStart w:id="257" w:name="xdx_23A_zt4ZWJtifu05"/>
      <w:bookmarkEnd w:id="257"/>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jc w:val="left"/>
        <w:rPr>
          <w:caps w:val="false"/>
          <w:smallCaps w:val="false"/>
        </w:rPr>
      </w:pPr>
      <w:bookmarkStart w:id="258" w:name="xdx_23B_z6u1E2Dq7f42"/>
      <w:bookmarkEnd w:id="258"/>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59" w:name="xdx_23F_zbPZfscPKOIb"/>
      <w:bookmarkEnd w:id="259"/>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60" w:name="xdx_868_zjNnCS6dfS4c"/>
      <w:bookmarkStart w:id="261" w:name="xdx_845_ecustom--LeasesAndRightofUseAsse"/>
      <w:bookmarkEnd w:id="260"/>
      <w:bookmarkEnd w:id="261"/>
      <w:r>
        <w:rPr>
          <w:rFonts w:ascii="Times New Roman;Times;Serif" w:hAnsi="Times New Roman;Times;Serif"/>
          <w:b/>
          <w:i/>
          <w:caps w:val="false"/>
          <w:smallCaps w:val="false"/>
          <w:sz w:val="20"/>
        </w:rPr>
        <w:t>Leases and Right-of-Use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its inception. Operating lease liabilities are recognized at the lease commencement date based on the present value of lease payments over the lease term. The Company generally uses their incremental borrowing rate based on the information available at the lease commencement date in determining the present value of future payments, because the implicit rate of the lease is generally not known. Right-of-use assets related to the Company’s operating lease liabilities are measured at lease inception based on the initial measurement of the lease liability, plus any prepaid lease payments and less any lease incentives. The Company’s lease terms that are used in determining their operating lease liabilities at lease inception may include options to extend or terminate the leases when it is reasonably certain that the Company will exercise such options. The Company amortizes their right-of-use assets as operating lease expense generally on a straight-line basis over the lease term and classify both the lease amortization and imputed interest as operating expenses. The Company does not recognize lease assets and lease liabilities for any lease with an original lease term of less than one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62" w:name="xdx_865_z4DipGD3aLec"/>
      <w:bookmarkStart w:id="263" w:name="xdx_84B_eus-gaap--IncomeTaxPolicyTextBlo"/>
      <w:bookmarkEnd w:id="262"/>
      <w:bookmarkEnd w:id="263"/>
      <w:r>
        <w:rPr>
          <w:rFonts w:ascii="Times New Roman;Times;Serif" w:hAnsi="Times New Roman;Times;Serif"/>
          <w:b/>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Accordingly, deferred tax assets and liabilities are recognized for the future tax 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the tax rate is recognized in income or expense in the period that the change is effective. Income tax benefits are recognized when it is probable that the deduction will be sustained. A valuation allowance is established when it is more likely than not that all or a portion of a deferred tax asset will either expire before the Company is able to realize the benefit, or that future deductibility is uncertain.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64" w:name="xdx_86A_zvtdmxz3MLE5"/>
      <w:bookmarkStart w:id="265" w:name="xdx_846_eus-gaap--ComprehensiveIncomePol"/>
      <w:bookmarkEnd w:id="264"/>
      <w:bookmarkEnd w:id="265"/>
      <w:r>
        <w:rPr>
          <w:rFonts w:ascii="Times New Roman;Times;Serif" w:hAnsi="Times New Roman;Times;Serif"/>
          <w:b/>
          <w:i/>
          <w:caps w:val="false"/>
          <w:smallCaps w:val="false"/>
          <w:sz w:val="20"/>
        </w:rPr>
        <w:t>Comprehensive Income (Loss) and Foreign Currency Translation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reports comprehensive income (loss) and its components in its condensed consolidated financial statements. Comprehensive loss consists of net loss and foreign currency translation adjustments, affecting stockholders’ equity that, under GAAP, are excluded from net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related to the Company’s foreign operations are calculated using the Philippine Peso and Canadian Dollar, and are translated at end-of-period exchange rates, while the related revenues and expenses are translated at average exchange rates prevailing during the period. Gains or losses resulting from transactions denominated in foreign currencies are included in general and administrative expenses in the condensed consolidated statements of operations. The Company engages in foreign currency denominated transactions with customers that operate in functional currencies other than the U.S. dollar. Aggregate foreign currency net transaction gain were approximately $54 thousand, $0 thousand, and loss of $28 thousand for the three months ended March 31, 2024 (Successor), for the period from March 15, 2023 to March 31, 2023 (Successor), and for the period from January 1, 2023 to March 14, 2023 (Predecessor).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66" w:name="xdx_86C_zaMKy4CT7Q6d"/>
      <w:bookmarkStart w:id="267" w:name="xdx_84B_eus-gaap--DebtPolicyTextBlock_z6"/>
      <w:bookmarkEnd w:id="266"/>
      <w:bookmarkEnd w:id="267"/>
      <w:r>
        <w:rPr>
          <w:rFonts w:ascii="Times New Roman;Times;Serif" w:hAnsi="Times New Roman;Times;Serif"/>
          <w:b/>
          <w:i/>
          <w:caps w:val="false"/>
          <w:smallCaps w:val="false"/>
          <w:sz w:val="20"/>
        </w:rPr>
        <w:t>Debt Issuance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related to the issuance of debt are capitalized and amortized to interest expense over the life of the related debt using the effective interest method. The amendments to FASB ASC 835-30 require that debt issuance costs be presented in the Condensed Consolidated Balance Sheets as a direct deduction from the carrying amount of long-term debt, consistent with debt discounts or premiums.</w:t>
      </w:r>
    </w:p>
    <w:p>
      <w:pPr>
        <w:pStyle w:val="TextBody"/>
        <w:bidi w:val="0"/>
        <w:jc w:val="left"/>
        <w:rPr>
          <w:caps w:val="false"/>
          <w:smallCaps w:val="false"/>
        </w:rPr>
      </w:pPr>
      <w:bookmarkStart w:id="268" w:name="xdx_233_zK7eUB3Y8NUj"/>
      <w:bookmarkEnd w:id="268"/>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jc w:val="left"/>
        <w:rPr>
          <w:caps w:val="false"/>
          <w:smallCaps w:val="false"/>
        </w:rPr>
      </w:pPr>
      <w:bookmarkStart w:id="269" w:name="xdx_234_zVry4VL4AIb9"/>
      <w:bookmarkEnd w:id="269"/>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0" w:name="xdx_23B_z7Ee5MMXP6mf"/>
      <w:bookmarkEnd w:id="270"/>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71" w:name="xdx_868_zMzDBUScnJIk"/>
      <w:bookmarkStart w:id="272" w:name="xdx_84D_eus-gaap--RevenueFromContractWit"/>
      <w:bookmarkEnd w:id="271"/>
      <w:bookmarkEnd w:id="272"/>
      <w:r>
        <w:rPr>
          <w:rFonts w:ascii="Times New Roman;Times;Serif" w:hAnsi="Times New Roman;Times;Serif"/>
          <w:b/>
          <w:i/>
          <w:caps w:val="false"/>
          <w:smallCaps w:val="false"/>
          <w:sz w:val="20"/>
        </w:rPr>
        <w:t>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when control is transferred of the promised products or services to its customers, in an amount that reflects the consideration the Company expects to be entitled to in exchange for those products or services. The Company derives revenue from its software as a service for cloud-based software, as well as design, implementation and other professional services for work performed in conjunction with its cloud-based software. The Company enters into contracts with its customers whereby it grants a non-exclusive cloud-based license for the use of its proprietary software and for professional services. The contracts may also provide for on-going services for a specified price, which may include maintenance services, designated support, and enhancements, upgrades and improvements to the software, depending on the contract. Licenses for cloud software provide the customer with a right to use the software as it exists when made available to the customer. All software provides customers with the same functionality and differs mainly in the duration over which the customer benefits from the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 Revenue from Contracts with Customers. The standard’s core principle is that an entity will recognize revenue when it transfers goods or services to customers in an amount that reflects the consideration to which the entity expects to be entitled to in exchange for those goods or services. The new standard is a principles-based standard intended to better match the accounting for the transaction with the economics of the transaction. This requires entities to use more judgment and make more estimates than under previous revenue standards.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introduces a five-step model for revenue recognition that replaces the four criteria for revenue recognition under previous GAAP. The five steps are shown below:</w:t>
      </w:r>
    </w:p>
    <w:p>
      <w:pPr>
        <w:pStyle w:val="TextBody"/>
        <w:bidi w:val="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20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3545" w:type="dxa"/>
            <w:tcBorders/>
            <w:vAlign w:val="center"/>
          </w:tcPr>
          <w:p>
            <w:pPr>
              <w:pStyle w:val="TableContents"/>
              <w:bidi w:val="0"/>
              <w:spacing w:before="0" w:after="283"/>
              <w:jc w:val="both"/>
              <w:rPr/>
            </w:pPr>
            <w:r>
              <w:rPr/>
              <w:t>Identify the contract with a customer;</w:t>
            </w:r>
          </w:p>
        </w:tc>
      </w:tr>
    </w:tbl>
    <w:p>
      <w:pPr>
        <w:pStyle w:val="TextBody"/>
        <w:bidi w:val="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20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4910" w:type="dxa"/>
            <w:tcBorders/>
            <w:vAlign w:val="center"/>
          </w:tcPr>
          <w:p>
            <w:pPr>
              <w:pStyle w:val="TableContents"/>
              <w:bidi w:val="0"/>
              <w:spacing w:before="0" w:after="283"/>
              <w:jc w:val="both"/>
              <w:rPr/>
            </w:pPr>
            <w:r>
              <w:rPr/>
              <w:t>Identify the performance obligations in the contract;</w:t>
            </w:r>
          </w:p>
        </w:tc>
      </w:tr>
    </w:tbl>
    <w:p>
      <w:pPr>
        <w:pStyle w:val="TextBody"/>
        <w:bidi w:val="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0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3035" w:type="dxa"/>
            <w:tcBorders/>
            <w:vAlign w:val="center"/>
          </w:tcPr>
          <w:p>
            <w:pPr>
              <w:pStyle w:val="TableContents"/>
              <w:bidi w:val="0"/>
              <w:spacing w:before="0" w:after="283"/>
              <w:jc w:val="both"/>
              <w:rPr/>
            </w:pPr>
            <w:r>
              <w:rPr/>
              <w:t>Determine the transaction price;</w:t>
            </w:r>
          </w:p>
        </w:tc>
      </w:tr>
    </w:tbl>
    <w:p>
      <w:pPr>
        <w:pStyle w:val="TextBody"/>
        <w:bidi w:val="0"/>
        <w:jc w:val="left"/>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20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5825" w:type="dxa"/>
            <w:tcBorders/>
            <w:vAlign w:val="center"/>
          </w:tcPr>
          <w:p>
            <w:pPr>
              <w:pStyle w:val="TableContents"/>
              <w:bidi w:val="0"/>
              <w:spacing w:before="0" w:after="283"/>
              <w:jc w:val="both"/>
              <w:rPr/>
            </w:pPr>
            <w:r>
              <w:rPr/>
              <w:t>Allocate the transaction price to performance obligations; and</w:t>
            </w:r>
          </w:p>
        </w:tc>
      </w:tr>
    </w:tbl>
    <w:p>
      <w:pPr>
        <w:pStyle w:val="TextBody"/>
        <w:bidi w:val="0"/>
        <w:jc w:val="left"/>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20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7235" w:type="dxa"/>
            <w:tcBorders/>
            <w:vAlign w:val="center"/>
          </w:tcPr>
          <w:p>
            <w:pPr>
              <w:pStyle w:val="TableContents"/>
              <w:bidi w:val="0"/>
              <w:spacing w:before="0" w:after="283"/>
              <w:jc w:val="both"/>
              <w:rPr/>
            </w:pPr>
            <w:r>
              <w:rPr/>
              <w:t>Recognize revenue when (or as) the entity satisfies a performance obligation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License Subscription Revenue Recognition (Software As A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sales of the Company’s license agreements, customers generally pay fixed annual fees in advance in exchange for the Company’s software service provided via electronic means, which are generally recognized ratably over the license term. Some agreements allow the customer to terminate their subscription contracts before the end of the applicable term, and in such cases the customer is generally entitled to a refund pro-rata but only for the elapsed time remaining at the point of termination, which would approximate the deferred revenue at such time. The Company’s performance obligation is satisfied over time as the electronic services are provided continuously throughout the service period. The Company recognizes revenue evenly over the service period using a time-based measure because the Company is providing continuous access to its service. The Company’s customers generally pay within 30 to 60 days from the receipt of a customer approved invoice.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Company’s revenue recognition related to the licensing revenue stream is dependent on whether the software licensing agreement entered into represents a service. Software that relies on an entity’s IP and is delivered only through a hosting arrangement, where the customer cannot take possession of the software, is a service. Customers may purchase perpetual licenses or subscribe to licenses, which provide customers with the same functionality and differ mainly in the duration over which the customer benefits from the software.</w:t>
      </w:r>
    </w:p>
    <w:p>
      <w:pPr>
        <w:pStyle w:val="TextBody"/>
        <w:bidi w:val="0"/>
        <w:jc w:val="left"/>
        <w:rPr>
          <w:caps w:val="false"/>
          <w:smallCaps w:val="false"/>
        </w:rPr>
      </w:pPr>
      <w:bookmarkStart w:id="273" w:name="xdx_23F_zHpRVGfChaYk"/>
      <w:bookmarkEnd w:id="273"/>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jc w:val="left"/>
        <w:rPr>
          <w:caps w:val="false"/>
          <w:smallCaps w:val="false"/>
        </w:rPr>
      </w:pPr>
      <w:bookmarkStart w:id="274" w:name="xdx_23E_zizOANAXgTTb"/>
      <w:bookmarkEnd w:id="274"/>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5" w:name="xdx_232_zf9LPlrmmpcg"/>
      <w:bookmarkEnd w:id="275"/>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Renewals or extensions of licenses are evaluated as distinct licenses and revenue attributed to the distinct service is not recognized until: (1) the entity provides the distinct license (or makes the license available) to the customer and (2) the customer is able to use and benefit from the distinct license. Renewal contracts are not combined with original contracts, and, as a result, the renewal right is evaluated in the same manner as all other additional rights granted after the initial contract. The revenue is not recognized until the customer can begin to use and benefit from the license, which is typically at the beginning of the license renewal period. The Company recognizes revenue resulting from renewal of licensed software over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Professional Services 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integration and software customization professional services to its customers.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under milestone contracts are accounted for using the percentage of completion method. As soon as the outcome of a contract can be estimated reliably, contract revenue is recognized in the statement of operations in proportion to the stage of completion of the contract. Contract costs are expensed as incurred. Contract costs include all amounts that relate directly to the specific contract, are attributable to contract activity, and are specifically chargeable to the customer under the terms of the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are also contracted on the fixed fee and in some cases on a time and materials basis. Fixed fees are paid monthly, in phases, or upon acceptance of deliverables. The Company’s time and materials contracts are paid weekly or monthly based on hours worked. Revenue on time and material contracts is recognized based on a fixed hourly rate as direct labor hours are expended. Materials, or other specified direct costs, are reimbursed as actual costs and may include markup. The Company has elected the practical expedient to recognize revenue for the right to invoice because the Company’s right to consideration corresponds directly with the value to the customer of the performance completed to date. For fixed fee contracts provided by in house personnel, the Company recognizes revenue evenly over the service period using a time-based measure because the Company is providing continuous service. Because the Company’s contracts have an expected duration of one year or less, the Company has elected the practical expedient in ASC 606-10-50-14(a) to not disclose information about its remaining performance obligations. Anticipated losses are recognized as soon as they become known. For the three months ended March 31, 2024 (Successor), for the period from March 15, 2023 to March 31, 2023 (Successor), and for the period from January 1, 2023 to March 14, 2023 (Predecessor), the Company did not incur any such losses. These amounts are based on known and estimated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Contract Balances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Company’s revenue recognition may differ from the timing of invoicing to and payment by its customers. The Company records an unbilled receivable when revenue is recognized prior to invoicing and the Company has an unconditional right to payment. Alternatively, when invoicing a customer precedes the Company providing of the related services, the Company records deferred revenue until the performance obligations are satisfied. The Company had deferred revenue of approximately $</w:t>
      </w:r>
      <w:bookmarkStart w:id="276" w:name="xdx_907_eus-gaap--DeferredRevenue_c20240"/>
      <w:bookmarkEnd w:id="276"/>
      <w:r>
        <w:rPr>
          <w:rFonts w:ascii="Times New Roman;Times;Serif" w:hAnsi="Times New Roman;Times;Serif"/>
          <w:b w:val="false"/>
          <w:i w:val="false"/>
          <w:caps w:val="false"/>
          <w:smallCaps w:val="false"/>
          <w:sz w:val="20"/>
        </w:rPr>
        <w:t>3,632 thousand and $</w:t>
      </w:r>
      <w:bookmarkStart w:id="277" w:name="xdx_906_eus-gaap--DeferredRevenue_c20231"/>
      <w:bookmarkEnd w:id="277"/>
      <w:r>
        <w:rPr>
          <w:rFonts w:ascii="Times New Roman;Times;Serif" w:hAnsi="Times New Roman;Times;Serif"/>
          <w:b w:val="false"/>
          <w:i w:val="false"/>
          <w:caps w:val="false"/>
          <w:smallCaps w:val="false"/>
          <w:sz w:val="20"/>
        </w:rPr>
        <w:t>2,878 thousand as of March 31, 2024 (Successor) and December 31, 2023 (Successor), respectively, related to customer invoices rendered in advance for software licenses and professional services provided by the Company’s technical staff. The Company expects to satisfy its remaining performance obligations for the deferred revenue associated with professional services, and recognize the deferred revenue related to licenses generally over the remaining contract term which is generally twelve months following the commencement of the license. The Company recognized revenue in the reporting period of $</w:t>
      </w:r>
      <w:bookmarkStart w:id="278" w:name="xdx_906_ecustom--RevenueRecognized_c2024"/>
      <w:bookmarkEnd w:id="278"/>
      <w:r>
        <w:rPr>
          <w:rFonts w:ascii="Times New Roman;Times;Serif" w:hAnsi="Times New Roman;Times;Serif"/>
          <w:b w:val="false"/>
          <w:i w:val="false"/>
          <w:caps w:val="false"/>
          <w:smallCaps w:val="false"/>
          <w:sz w:val="20"/>
        </w:rPr>
        <w:t>1,030 thousand, $</w:t>
      </w:r>
      <w:bookmarkStart w:id="279" w:name="xdx_909_ecustom--RevenueRecognized_c2023"/>
      <w:bookmarkEnd w:id="279"/>
      <w:r>
        <w:rPr>
          <w:rFonts w:ascii="Times New Roman;Times;Serif" w:hAnsi="Times New Roman;Times;Serif"/>
          <w:b w:val="false"/>
          <w:i w:val="false"/>
          <w:caps w:val="false"/>
          <w:smallCaps w:val="false"/>
          <w:sz w:val="20"/>
        </w:rPr>
        <w:t>170 thousand, and $</w:t>
      </w:r>
      <w:bookmarkStart w:id="280" w:name="xdx_907_ecustom--RevenueRecognized_c2023"/>
      <w:bookmarkEnd w:id="280"/>
      <w:r>
        <w:rPr>
          <w:rFonts w:ascii="Times New Roman;Times;Serif" w:hAnsi="Times New Roman;Times;Serif"/>
          <w:b w:val="false"/>
          <w:i w:val="false"/>
          <w:caps w:val="false"/>
          <w:smallCaps w:val="false"/>
          <w:sz w:val="20"/>
        </w:rPr>
        <w:t>865 thousand, that was included in the contract liability balance at the beginning of the period, for the three months ended March 31, 2024 (Successor), for the period from March 15, 2023 to March 31, 2023 (Successor), and for the period from January 1, 2023 to March 14, 2023 (Predecessor),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Costs to Obtain a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eligible sales commissions as an asset within prepaid expenses and other current assets as the commissions are an incremental cost of obtaining a contract with the customer and the Company expects to recover these costs. The capitalized costs are amortized over the expected contract term.</w:t>
      </w:r>
    </w:p>
    <w:p>
      <w:pPr>
        <w:pStyle w:val="TextBody"/>
        <w:bidi w:val="0"/>
        <w:jc w:val="left"/>
        <w:rPr>
          <w:caps w:val="false"/>
          <w:smallCaps w:val="false"/>
        </w:rPr>
      </w:pPr>
      <w:bookmarkStart w:id="281" w:name="xdx_23B_z3RuqIliePv6"/>
      <w:bookmarkEnd w:id="28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jc w:val="left"/>
        <w:rPr>
          <w:caps w:val="false"/>
          <w:smallCaps w:val="false"/>
        </w:rPr>
      </w:pPr>
      <w:bookmarkStart w:id="282" w:name="xdx_23E_zyV2Y5X0AJmh"/>
      <w:bookmarkEnd w:id="282"/>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83" w:name="xdx_235_zTHP2htItC6c"/>
      <w:bookmarkEnd w:id="283"/>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Cost to</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Fulfill a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incurs costs to fulfill their obligations under a contract once it has obtained the contract. These costs are generally not significant and are recorded to expense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Multiple Performance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customers for its technology that include multiple performance obligations. Each distinct performance obligation was determined by whether the customer could benefit from the good or service on its own or together with readily available resources. The Company allocates revenue to each performance obligation based on its relative standalone selling price. The Company’s process for determining standalone selling price considers multiple factors including the Company’s internal pricing model and market trends that may vary depending upon the facts and circumstances related to each performance obligation.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Sales and Use</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transactional taxes such as sales and use tax collected from customers and remitted to government authorities on a net basis.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Shipping and Handling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costs are expensed as incurred as part of cost of revenues. These costs were deemed to be de minimis during each of the reporting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84" w:name="xdx_86A_z5IZfVgqgaTk"/>
      <w:bookmarkStart w:id="285" w:name="xdx_849_eus-gaap--ResearchAndDevelopment"/>
      <w:bookmarkEnd w:id="284"/>
      <w:bookmarkEnd w:id="285"/>
      <w:r>
        <w:rPr>
          <w:rFonts w:ascii="Times New Roman;Times;Serif" w:hAnsi="Times New Roman;Times;Serif"/>
          <w:b/>
          <w:i/>
          <w:caps w:val="false"/>
          <w:smallCaps w:val="false"/>
          <w:sz w:val="20"/>
        </w:rPr>
        <w:t>Research and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are expensed when incurred. R&amp;D expenses consist primarily of personnel and related headcount costs, costs of professional services associated with the ongoing development of the Company’s technology, and allocated overhead.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86" w:name="xdx_862_zm3bD4KcCly3"/>
      <w:bookmarkStart w:id="287" w:name="xdx_84E_eus-gaap--BusinessCombinationsPo"/>
      <w:bookmarkEnd w:id="286"/>
      <w:bookmarkEnd w:id="287"/>
      <w:r>
        <w:rPr>
          <w:rFonts w:ascii="Times New Roman;Times;Serif" w:hAnsi="Times New Roman;Times;Serif"/>
          <w:b/>
          <w:i/>
          <w:caps w:val="false"/>
          <w:smallCaps w:val="false"/>
          <w:sz w:val="20"/>
        </w:rPr>
        <w:t>Business Combinations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under Financial Accounting Standards Board (“FASB”) Accounting Standards Codification (“ASC”) 805 “Business Combinations” using the acquisition method of accounting, and accordingly, the assets and liabilities of the acquired business are recorded at their fair values at the date of acquisition. The excess of the purchase price over the estimated fair value is recorded as goodwill. All acquisition costs are expensed as incurred. Upon acquisition, the accounts and results of operations are included as of and subsequent to the acquisition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88" w:name="xdx_860_zUv69fEMtSWl"/>
      <w:bookmarkStart w:id="289" w:name="xdx_849_eus-gaap--SegmentReportingPolicy"/>
      <w:bookmarkEnd w:id="288"/>
      <w:bookmarkEnd w:id="289"/>
      <w:r>
        <w:rPr>
          <w:rFonts w:ascii="Times New Roman;Times;Serif" w:hAnsi="Times New Roman;Times;Serif"/>
          <w:b/>
          <w:i/>
          <w:caps w:val="false"/>
          <w:smallCaps w:val="false"/>
          <w:sz w:val="20"/>
        </w:rPr>
        <w:t>Segments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Chief Executive Officer (“CEO”), acting as the Chief Operating Decision Maker (“CODM”) determines its reporting units in accordance with FASB ASC 280, “Segment Reporting” (“ASC 280”). The Company evaluates a reporting unit by first identifying its operating segments under ASC 280. The Company then evaluates each operating segment to determine if it includes one or more components that constitute a business. If there are components within an operating segment that meet the definition of a business, the Company evaluates those components to determine if they must be aggregated into one or more reporting units. If applicable, when determining if it is appropriate to aggregate different operating segments, the Company determines if the segments are economically similar and, if so, the operating segments are aggregated. The Company has one operating segment and reporting unit. The Company is organized and operated as one business. Management reviews its business as a single operating segment, using financial and other information rendered meaningful only by the fact that such information is presented and reviewed in the aggregate.</w:t>
      </w:r>
    </w:p>
    <w:p>
      <w:pPr>
        <w:pStyle w:val="TextBody"/>
        <w:bidi w:val="0"/>
        <w:jc w:val="left"/>
        <w:rPr>
          <w:caps w:val="false"/>
          <w:smallCaps w:val="false"/>
        </w:rPr>
      </w:pPr>
      <w:bookmarkStart w:id="290" w:name="xdx_237_zZdjOPO6qfJ"/>
      <w:bookmarkEnd w:id="290"/>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jc w:val="left"/>
        <w:rPr>
          <w:caps w:val="false"/>
          <w:smallCaps w:val="false"/>
        </w:rPr>
      </w:pPr>
      <w:bookmarkStart w:id="291" w:name="xdx_23E_zEGBaU92yHa3"/>
      <w:bookmarkEnd w:id="291"/>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92" w:name="xdx_23A_zmhZGGiVcu66"/>
      <w:bookmarkEnd w:id="292"/>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93" w:name="xdx_865_zoYTpWqHtWFe"/>
      <w:bookmarkStart w:id="294" w:name="xdx_84F_eus-gaap--CompensationRelatedCos"/>
      <w:bookmarkEnd w:id="293"/>
      <w:bookmarkEnd w:id="294"/>
      <w:r>
        <w:rPr>
          <w:rFonts w:ascii="Times New Roman;Times;Serif" w:hAnsi="Times New Roman;Times;Serif"/>
          <w:b/>
          <w:i/>
          <w:caps w:val="false"/>
          <w:smallCaps w:val="false"/>
          <w:sz w:val="20"/>
        </w:rPr>
        <w:t>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cost of employee and non-employee services received in exchange for an award of equity instruments based on the grant date fair value of the award. The Company has issued stock-based compensation awards in the form of options and restricted stock units. Fair value for options and restricted stock units are valued using the closing price of the Company’s common stock on the date of grant. The grant date fair value is recognized over the requisite service period during which an employee and non-employee is required to provide service in exchange for the award.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options is estimated using the Black-Scholes option pricing model based on the average of the high and low stock prices at the grant date for awards under the CXApp Inc. 2023 Equity Incentive Plan (the “Incentive Plan”). The risk-free interest rate assumptions were based upon the observed interest rates appropriate for the expected term of the equity instruments. The expected dividend yield is assumed to be zero as the Company has not paid any dividends since its inception and does not anticipate paying dividends in the foreseeable future. The Company uses the simplified method to estimate the expected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forfeitures at the time of grant and revises these estimates in subsequent periods if actual forfeitures differ from those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295" w:name="xdx_861_zCQTYWhgDnej"/>
      <w:bookmarkStart w:id="296" w:name="xdx_84E_eus-gaap--StandardProductWarrant"/>
      <w:bookmarkEnd w:id="295"/>
      <w:bookmarkEnd w:id="296"/>
      <w:r>
        <w:rPr>
          <w:rFonts w:ascii="Times New Roman;Times;Serif" w:hAnsi="Times New Roman;Times;Serif"/>
          <w:b/>
          <w:i/>
          <w:caps w:val="false"/>
          <w:smallCaps w:val="false"/>
          <w:sz w:val="20"/>
        </w:rPr>
        <w:t>Derivative Warrant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 The Company currently has two sets of warrants outstanding, known as the Private Placement Warrants and the Public Warrants, which are both classified as a liability.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additional paid-in capital at the time of issuance or modification. For issued or modified warrants that do not meet all the criteria for equity classification, the warrants are required to be recorded at their initial fair value on the date of issuance as a warrant liability, and adjusted to the then fair value in each balance sheet date thereafter. Changes in the estimated fair value of the warrants are recognized as a non-cash gain or loss on the condensed consolidated statements of operations and amounted to a loss of $</w:t>
      </w:r>
      <w:bookmarkStart w:id="297" w:name="xdx_900_ecustom--ChangesInEstimatedFairV"/>
      <w:bookmarkEnd w:id="297"/>
      <w:r>
        <w:rPr>
          <w:rFonts w:ascii="Times New Roman;Times;Serif" w:hAnsi="Times New Roman;Times;Serif"/>
          <w:b w:val="false"/>
          <w:i w:val="false"/>
          <w:caps w:val="false"/>
          <w:smallCaps w:val="false"/>
          <w:sz w:val="20"/>
        </w:rPr>
        <w:t>1,472 thousand, a gain of $</w:t>
      </w:r>
      <w:bookmarkStart w:id="298" w:name="xdx_904_ecustom--ChangesInEstimatedFairV"/>
      <w:bookmarkEnd w:id="298"/>
      <w:r>
        <w:rPr>
          <w:rFonts w:ascii="Times New Roman;Times;Serif" w:hAnsi="Times New Roman;Times;Serif"/>
          <w:b w:val="false"/>
          <w:i w:val="false"/>
          <w:caps w:val="false"/>
          <w:smallCaps w:val="false"/>
          <w:sz w:val="20"/>
        </w:rPr>
        <w:t>1,686 thousand, and $</w:t>
      </w:r>
      <w:bookmarkStart w:id="299" w:name="xdx_906_ecustom--ChangesInEstimatedFairV"/>
      <w:bookmarkEnd w:id="299"/>
      <w:r>
        <w:rPr>
          <w:rFonts w:ascii="Times New Roman;Times;Serif" w:hAnsi="Times New Roman;Times;Serif"/>
          <w:b w:val="false"/>
          <w:i w:val="false"/>
          <w:caps w:val="false"/>
          <w:smallCaps w:val="false"/>
          <w:sz w:val="20"/>
        </w:rPr>
        <w:t>0 for the three months ended March 31, 2024 (Successor), period from March 15, 2023 to March 31, 2023 (Successor), and period from January 1, 2023 to March 14, 2023 (Predecessor),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utilized the Public Warrant quoted market price as the fair value of the Warrants as of each relevant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00" w:name="xdx_867_zxUtbgH5ReLd"/>
      <w:bookmarkStart w:id="301" w:name="xdx_841_eus-gaap--EarningsPerSharePolicy"/>
      <w:bookmarkEnd w:id="300"/>
      <w:bookmarkEnd w:id="301"/>
      <w:r>
        <w:rPr>
          <w:rFonts w:ascii="Times New Roman;Times;Serif" w:hAnsi="Times New Roman;Times;Serif"/>
          <w:b/>
          <w:i/>
          <w:caps w:val="false"/>
          <w:smallCaps w:val="false"/>
          <w:sz w:val="20"/>
        </w:rPr>
        <w:t>Earnings Per Share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basic and diluted earnings per share by dividing net income by the weighted average number of common shares outstanding during the period. Diluted earnings per share are similarly calculated with the inclusion of dilutive common stock equivalents. For the three months ended March 31, 2024 (Successor) and for the period from March 15, 2023 to March 31, 2023 (Successor) basic and dilutive net income (loss) per common share were the same since the inclusion of common shares issuable pursuant to the exercise of options, warrants, and vesting of restricted units in the calculation of diluted net income (loss) per common shares would have been anti-dilutive. For the period from March 15, 2023 to March 31, 2023 (Successor), the common shares issuable were excluded from the calculation because (i) the warrants were below their exercise price and (ii) the stock options were not vested.</w:t>
      </w:r>
    </w:p>
    <w:p>
      <w:pPr>
        <w:pStyle w:val="TextBody"/>
        <w:bidi w:val="0"/>
        <w:jc w:val="left"/>
        <w:rPr>
          <w:caps w:val="false"/>
          <w:smallCaps w:val="false"/>
        </w:rPr>
      </w:pPr>
      <w:bookmarkStart w:id="302" w:name="xdx_23D_zRsNV089q2O6"/>
      <w:bookmarkEnd w:id="30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jc w:val="left"/>
        <w:rPr>
          <w:caps w:val="false"/>
          <w:smallCaps w:val="false"/>
        </w:rPr>
      </w:pPr>
      <w:bookmarkStart w:id="303" w:name="xdx_239_zbFj7rqpo4Jc"/>
      <w:bookmarkEnd w:id="303"/>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04" w:name="xdx_238_zbYGGGqkMpPc"/>
      <w:bookmarkEnd w:id="304"/>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common shares and common share equivalents excluded from the calculation of diluted net loss per common share for the three months ended March 31, 2024 (Successor) and net income for the period from March 15, 2023 to March 31, 2023 (Successor).</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5" w:name="xdx_896_eus-gaap--ScheduleOfAntidilutive"/>
      <w:bookmarkStart w:id="306" w:name="xdx_896_eus-gaap--ScheduleOfAntidilutive"/>
      <w:bookmarkEnd w:id="306"/>
    </w:p>
    <w:tbl>
      <w:tblPr>
        <w:tblW w:w="6988" w:type="dxa"/>
        <w:jc w:val="left"/>
        <w:tblInd w:w="0" w:type="dxa"/>
        <w:tblLayout w:type="fixed"/>
        <w:tblCellMar>
          <w:top w:w="0" w:type="dxa"/>
          <w:left w:w="0" w:type="dxa"/>
          <w:bottom w:w="0" w:type="dxa"/>
          <w:right w:w="0" w:type="dxa"/>
        </w:tblCellMar>
      </w:tblPr>
      <w:tblGrid>
        <w:gridCol w:w="2915"/>
        <w:gridCol w:w="60"/>
        <w:gridCol w:w="114"/>
        <w:gridCol w:w="2095"/>
        <w:gridCol w:w="60"/>
        <w:gridCol w:w="60"/>
        <w:gridCol w:w="83"/>
        <w:gridCol w:w="1526"/>
        <w:gridCol w:w="75"/>
      </w:tblGrid>
      <w:tr>
        <w:trPr/>
        <w:tc>
          <w:tcPr>
            <w:tcW w:w="2915" w:type="dxa"/>
            <w:tcBorders/>
            <w:shd w:fill="FFFFFF" w:val="clear"/>
            <w:vAlign w:val="center"/>
          </w:tcPr>
          <w:p>
            <w:pPr>
              <w:pStyle w:val="TableContents"/>
              <w:bidi w:val="0"/>
              <w:spacing w:before="0" w:after="283"/>
              <w:ind w:left="0" w:right="0" w:hanging="180"/>
              <w:jc w:val="left"/>
              <w:rPr/>
            </w:pPr>
            <w:bookmarkStart w:id="307" w:name="xdx_8BA_z72kmRCOtKA9"/>
            <w:bookmarkEnd w:id="307"/>
            <w:r>
              <w:rPr/>
              <w:t>Schedule of antidilutive shares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0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bottom w:val="single" w:sz="8"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2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March 15, 2023</w:t>
              <w:br/>
              <w:t>to</w:t>
              <w:br/>
              <w:t>March 31,</w:t>
              <w:br/>
              <w:t>2023</w:t>
            </w:r>
          </w:p>
        </w:tc>
        <w:tc>
          <w:tcPr>
            <w:tcW w:w="75" w:type="dxa"/>
            <w:tcBorders/>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bookmarkStart w:id="308" w:name="xdx_986_eus-gaap--AntidilutiveSecurities"/>
            <w:bookmarkEnd w:id="308"/>
          </w:p>
        </w:tc>
        <w:tc>
          <w:tcPr>
            <w:tcW w:w="2095" w:type="dxa"/>
            <w:tcBorders/>
            <w:shd w:fill="CCEEFF" w:val="clear"/>
            <w:vAlign w:val="center"/>
          </w:tcPr>
          <w:p>
            <w:pPr>
              <w:pStyle w:val="TableContents"/>
              <w:bidi w:val="0"/>
              <w:spacing w:before="0" w:after="283"/>
              <w:jc w:val="right"/>
              <w:rPr/>
            </w:pPr>
            <w:r>
              <w:rPr/>
              <w:t>1,689,900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309" w:name="xdx_981_eus-gaap--AntidilutiveSecurities"/>
            <w:bookmarkEnd w:id="309"/>
          </w:p>
        </w:tc>
        <w:tc>
          <w:tcPr>
            <w:tcW w:w="1526" w:type="dxa"/>
            <w:tcBorders/>
            <w:shd w:fill="CCEEFF" w:val="clear"/>
            <w:vAlign w:val="center"/>
          </w:tcPr>
          <w:p>
            <w:pPr>
              <w:pStyle w:val="TableContents"/>
              <w:bidi w:val="0"/>
              <w:spacing w:before="0" w:after="283"/>
              <w:jc w:val="right"/>
              <w:rPr/>
            </w:pPr>
            <w:r>
              <w:rPr/>
              <w:t>1,377,000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bookmarkStart w:id="310" w:name="xdx_985_eus-gaap--AntidilutiveSecurities"/>
            <w:bookmarkEnd w:id="310"/>
          </w:p>
        </w:tc>
        <w:tc>
          <w:tcPr>
            <w:tcW w:w="2095" w:type="dxa"/>
            <w:tcBorders/>
            <w:shd w:fill="FFFFFF" w:val="clear"/>
            <w:vAlign w:val="center"/>
          </w:tcPr>
          <w:p>
            <w:pPr>
              <w:pStyle w:val="TableContents"/>
              <w:bidi w:val="0"/>
              <w:spacing w:before="0" w:after="283"/>
              <w:jc w:val="right"/>
              <w:rPr/>
            </w:pPr>
            <w:r>
              <w:rPr/>
              <w:t>533,165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bookmarkStart w:id="311" w:name="xdx_98E_eus-gaap--AntidilutiveSecurities"/>
            <w:bookmarkEnd w:id="311"/>
          </w:p>
        </w:tc>
        <w:tc>
          <w:tcPr>
            <w:tcW w:w="152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2" w:name="xdx_98E_eus-gaap--AntidilutiveSecurities"/>
            <w:bookmarkEnd w:id="312"/>
          </w:p>
        </w:tc>
        <w:tc>
          <w:tcPr>
            <w:tcW w:w="2095" w:type="dxa"/>
            <w:tcBorders>
              <w:bottom w:val="single" w:sz="8" w:space="0" w:color="000000"/>
            </w:tcBorders>
            <w:shd w:fill="CCEEFF" w:val="clear"/>
            <w:tcMar>
              <w:bottom w:w="28" w:type="dxa"/>
            </w:tcMar>
            <w:vAlign w:val="center"/>
          </w:tcPr>
          <w:p>
            <w:pPr>
              <w:pStyle w:val="TableContents"/>
              <w:bidi w:val="0"/>
              <w:spacing w:before="0" w:after="283"/>
              <w:jc w:val="right"/>
              <w:rPr/>
            </w:pPr>
            <w:r>
              <w:rPr/>
              <w:t>21,032,000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3" w:name="xdx_984_eus-gaap--AntidilutiveSecurities"/>
            <w:bookmarkEnd w:id="313"/>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pPr>
            <w:r>
              <w:rPr/>
              <w:t>24,080,000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14" w:name="xdx_986_eus-gaap--AntidilutiveSecurities"/>
            <w:bookmarkEnd w:id="314"/>
          </w:p>
        </w:tc>
        <w:tc>
          <w:tcPr>
            <w:tcW w:w="2095" w:type="dxa"/>
            <w:tcBorders>
              <w:bottom w:val="double" w:sz="6" w:space="0" w:color="000000"/>
            </w:tcBorders>
            <w:shd w:fill="FFFFFF" w:val="clear"/>
            <w:tcMar>
              <w:bottom w:w="28" w:type="dxa"/>
            </w:tcMar>
            <w:vAlign w:val="center"/>
          </w:tcPr>
          <w:p>
            <w:pPr>
              <w:pStyle w:val="TableContents"/>
              <w:bidi w:val="0"/>
              <w:spacing w:before="0" w:after="283"/>
              <w:jc w:val="right"/>
              <w:rPr/>
            </w:pPr>
            <w:r>
              <w:rPr/>
              <w:t>23,255,065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15" w:name="xdx_98B_eus-gaap--AntidilutiveSecurities"/>
            <w:bookmarkEnd w:id="315"/>
          </w:p>
        </w:tc>
        <w:tc>
          <w:tcPr>
            <w:tcW w:w="1526" w:type="dxa"/>
            <w:tcBorders>
              <w:bottom w:val="double" w:sz="6" w:space="0" w:color="000000"/>
            </w:tcBorders>
            <w:shd w:fill="FFFFFF" w:val="clear"/>
            <w:tcMar>
              <w:bottom w:w="28" w:type="dxa"/>
            </w:tcMar>
            <w:vAlign w:val="center"/>
          </w:tcPr>
          <w:p>
            <w:pPr>
              <w:pStyle w:val="TableContents"/>
              <w:bidi w:val="0"/>
              <w:spacing w:before="0" w:after="283"/>
              <w:jc w:val="right"/>
              <w:rPr/>
            </w:pPr>
            <w:r>
              <w:rPr/>
              <w:t>25,457,000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316" w:name="xdx_8AC_zEJtCI3Ywb49"/>
      <w:bookmarkEnd w:id="316"/>
      <w:r>
        <w:rPr>
          <w:caps w:val="false"/>
          <w:smallCaps w:val="false"/>
        </w:rPr>
        <w:t> </w:t>
      </w:r>
    </w:p>
    <w:p>
      <w:pPr>
        <w:pStyle w:val="TextBody"/>
        <w:bidi w:val="0"/>
        <w:jc w:val="both"/>
        <w:rPr>
          <w:rFonts w:ascii="Times New Roman;Times;Serif" w:hAnsi="Times New Roman;Times;Serif"/>
          <w:b/>
          <w:i/>
          <w:caps w:val="false"/>
          <w:smallCaps w:val="false"/>
          <w:sz w:val="20"/>
        </w:rPr>
      </w:pPr>
      <w:bookmarkStart w:id="317" w:name="xdx_86B_zgBnuQQqkvGg"/>
      <w:bookmarkStart w:id="318" w:name="xdx_849_eus-gaap--FairValueMeasurementPo"/>
      <w:bookmarkEnd w:id="317"/>
      <w:bookmarkEnd w:id="318"/>
      <w:r>
        <w:rPr>
          <w:rFonts w:ascii="Times New Roman;Times;Serif" w:hAnsi="Times New Roman;Times;Serif"/>
          <w:b/>
          <w:i/>
          <w:caps w:val="false"/>
          <w:smallCaps w:val="false"/>
          <w:sz w:val="20"/>
        </w:rPr>
        <w:t>Fair Value Measurements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820, “Fair Value Measurements” (“ASC 820”), provides guidance on the development and disclosure of fair value measurements. The Company follows this authoritative guidance for fair value measurements, which defines fair value, establishes a framework for measuring fair value under generally accepted accounting principles in the United States, and expands disclosures about fair value measurements. The guidance requires fair value measurements be classified and disclosed in one of the following three categories: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that are accessible at the measurement date for identical assets or liabilities.</w:t>
            </w:r>
          </w:p>
        </w:tc>
      </w:tr>
    </w:tbl>
    <w:p>
      <w:pPr>
        <w:pStyle w:val="TextBody"/>
        <w:bidi w:val="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prices that are based on inputs not quoted on active markets but corroborated by market data.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discussed herein are based upon certain market assumptions and pertinent information available to management. The fair value of the warrants has been measured based on the listed market price of such warrants, a Level 1 measurement. For the three months ended March 31, 2024 and period ended March 31, 2023, the Company recognized, in the consolidated statements of operations and comprehensive income, an unrealized loss of $</w:t>
      </w:r>
      <w:bookmarkStart w:id="319" w:name="xdx_907_ecustom--ChangeInFvOfDerivativeI"/>
      <w:bookmarkEnd w:id="319"/>
      <w:r>
        <w:rPr>
          <w:rFonts w:ascii="Times New Roman;Times;Serif" w:hAnsi="Times New Roman;Times;Serif"/>
          <w:b w:val="false"/>
          <w:i w:val="false"/>
          <w:caps w:val="false"/>
          <w:smallCaps w:val="false"/>
          <w:sz w:val="20"/>
        </w:rPr>
        <w:t>1,472 thousand, an unrealized gain of $</w:t>
      </w:r>
      <w:bookmarkStart w:id="320" w:name="xdx_906_ecustom--ChangeInFvOfDerivativeI"/>
      <w:bookmarkEnd w:id="320"/>
      <w:r>
        <w:rPr>
          <w:rFonts w:ascii="Times New Roman;Times;Serif" w:hAnsi="Times New Roman;Times;Serif"/>
          <w:b w:val="false"/>
          <w:i w:val="false"/>
          <w:caps w:val="false"/>
          <w:smallCaps w:val="false"/>
          <w:sz w:val="20"/>
        </w:rPr>
        <w:t>1,686 thousand, and $</w:t>
      </w:r>
      <w:bookmarkStart w:id="321" w:name="xdx_90C_ecustom--ChangeInFvOfDerivativeI"/>
      <w:bookmarkEnd w:id="321"/>
      <w:r>
        <w:rPr>
          <w:rFonts w:ascii="Times New Roman;Times;Serif" w:hAnsi="Times New Roman;Times;Serif"/>
          <w:b w:val="false"/>
          <w:i w:val="false"/>
          <w:caps w:val="false"/>
          <w:smallCaps w:val="false"/>
          <w:sz w:val="20"/>
        </w:rPr>
        <w:t>0 for the three months ended March 31, 2024 (Successor), period from March 15, 2023 to March 31, 2023 (Successor), and period from January 1, 2023 to March 14, 2023 (Predecessor), respectively. See Note 11.</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public and private warrants as a derivative liability initially measured at Its fair values and remeasured in the condensed consolidated statements of operations at the end of each reporting period. When the warrants are exercised, the corresponding derivative liability is de-recognized at the underlying fair value of the Class A common stock that is issued to the warrant holder less any cash paid in accordance with the warrant agreement. Upon either cash or cashless exercise, the de-recognized derivative liability results in an increase in additional paid in capital equal to the difference between the fair value of the underlying Class A common stock and its par value. A cashless exercise results in the warrant holder surrendering Class A common stock equal to the stated warrant exercise price based on the contractual terms in the warrant agreement that governs the cashless conversion.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jc w:val="left"/>
        <w:rPr>
          <w:caps w:val="false"/>
          <w:smallCaps w:val="false"/>
        </w:rPr>
      </w:pPr>
      <w:bookmarkStart w:id="322" w:name="xdx_230_zRuhJkSRzbE9"/>
      <w:bookmarkEnd w:id="322"/>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23" w:name="xdx_23B_zcH5LmWt8JZ4"/>
      <w:bookmarkEnd w:id="323"/>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changes in fair value of the liabilities: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4" w:name="xdx_891_eus-gaap--FairValueLiabilitiesMe"/>
      <w:bookmarkStart w:id="325" w:name="xdx_891_eus-gaap--FairValueLiabilitiesMe"/>
      <w:bookmarkEnd w:id="325"/>
    </w:p>
    <w:tbl>
      <w:tblPr>
        <w:tblW w:w="5505" w:type="dxa"/>
        <w:jc w:val="left"/>
        <w:tblInd w:w="0" w:type="dxa"/>
        <w:tblLayout w:type="fixed"/>
        <w:tblCellMar>
          <w:top w:w="0" w:type="dxa"/>
          <w:left w:w="0" w:type="dxa"/>
          <w:bottom w:w="0" w:type="dxa"/>
          <w:right w:w="0" w:type="dxa"/>
        </w:tblCellMar>
      </w:tblPr>
      <w:tblGrid>
        <w:gridCol w:w="4670"/>
        <w:gridCol w:w="60"/>
        <w:gridCol w:w="140"/>
        <w:gridCol w:w="560"/>
        <w:gridCol w:w="75"/>
      </w:tblGrid>
      <w:tr>
        <w:trPr/>
        <w:tc>
          <w:tcPr>
            <w:tcW w:w="4670" w:type="dxa"/>
            <w:tcBorders/>
            <w:shd w:fill="FFFFFF" w:val="clear"/>
            <w:vAlign w:val="center"/>
          </w:tcPr>
          <w:p>
            <w:pPr>
              <w:pStyle w:val="TableContents"/>
              <w:bidi w:val="0"/>
              <w:spacing w:before="0" w:after="283"/>
              <w:ind w:left="0" w:right="0" w:hanging="180"/>
              <w:jc w:val="left"/>
              <w:rPr/>
            </w:pPr>
            <w:bookmarkStart w:id="326" w:name="xdx_8B6_zSKRkkkrmV73"/>
            <w:bookmarkEnd w:id="326"/>
            <w:r>
              <w:rPr/>
              <w:t>Schedule of changes in fair value of the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70" w:type="dxa"/>
            <w:tcBorders/>
            <w:shd w:fill="CCEEFF" w:val="clear"/>
            <w:vAlign w:val="center"/>
          </w:tcPr>
          <w:p>
            <w:pPr>
              <w:pStyle w:val="TableContents"/>
              <w:bidi w:val="0"/>
              <w:spacing w:before="0" w:after="283"/>
              <w:jc w:val="left"/>
              <w:rPr/>
            </w:pPr>
            <w:r>
              <w:rPr/>
              <w:t>Warrant liability –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27" w:name="xdx_981_eus-gaap--ExtendedProductWarrant"/>
            <w:bookmarkEnd w:id="327"/>
          </w:p>
        </w:tc>
        <w:tc>
          <w:tcPr>
            <w:tcW w:w="560" w:type="dxa"/>
            <w:tcBorders/>
            <w:shd w:fill="CCEEFF" w:val="clear"/>
            <w:vAlign w:val="center"/>
          </w:tcPr>
          <w:p>
            <w:pPr>
              <w:pStyle w:val="TableContents"/>
              <w:bidi w:val="0"/>
              <w:spacing w:before="0" w:after="283"/>
              <w:jc w:val="right"/>
              <w:rPr/>
            </w:pPr>
            <w:r>
              <w:rPr/>
              <w:t>1,683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70" w:type="dxa"/>
            <w:tcBorders/>
            <w:shd w:fill="FFFFFF" w:val="clear"/>
            <w:vAlign w:val="center"/>
          </w:tcPr>
          <w:p>
            <w:pPr>
              <w:pStyle w:val="TableContents"/>
              <w:bidi w:val="0"/>
              <w:spacing w:before="0" w:after="283"/>
              <w:jc w:val="left"/>
              <w:rPr/>
            </w:pPr>
            <w:r>
              <w:rPr/>
              <w:t>Change in FV of derivative instruments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28" w:name="xdx_984_ecustom--ChangeInFvOfDerivativeI"/>
            <w:bookmarkEnd w:id="328"/>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1,472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70" w:type="dxa"/>
            <w:tcBorders/>
            <w:shd w:fill="CCEEFF" w:val="clear"/>
            <w:vAlign w:val="center"/>
          </w:tcPr>
          <w:p>
            <w:pPr>
              <w:pStyle w:val="TableContents"/>
              <w:bidi w:val="0"/>
              <w:spacing w:before="0" w:after="283"/>
              <w:jc w:val="left"/>
              <w:rPr>
                <w:b/>
              </w:rPr>
            </w:pPr>
            <w:r>
              <w:rPr>
                <w:b/>
              </w:rPr>
              <w:t>Warrant liability – March 31,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329" w:name="xdx_982_eus-gaap--ExtendedProductWarrant"/>
            <w:bookmarkEnd w:id="329"/>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3,155</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3770"/>
        <w:gridCol w:w="60"/>
        <w:gridCol w:w="140"/>
        <w:gridCol w:w="635"/>
        <w:gridCol w:w="170"/>
      </w:tblGrid>
      <w:tr>
        <w:trPr/>
        <w:tc>
          <w:tcPr>
            <w:tcW w:w="3770" w:type="dxa"/>
            <w:tcBorders/>
            <w:shd w:fill="CCEEFF" w:val="clear"/>
            <w:vAlign w:val="center"/>
          </w:tcPr>
          <w:p>
            <w:pPr>
              <w:pStyle w:val="TableContents"/>
              <w:bidi w:val="0"/>
              <w:spacing w:before="0" w:after="283"/>
              <w:ind w:left="0" w:right="0" w:hanging="180"/>
              <w:jc w:val="left"/>
              <w:rPr/>
            </w:pPr>
            <w:r>
              <w:rPr/>
              <w:t>Warrant liability – March 15,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30" w:name="xdx_98C_eus-gaap--ExtendedProductWarrant"/>
            <w:bookmarkEnd w:id="330"/>
          </w:p>
        </w:tc>
        <w:tc>
          <w:tcPr>
            <w:tcW w:w="635" w:type="dxa"/>
            <w:tcBorders/>
            <w:shd w:fill="CCEEFF" w:val="clear"/>
            <w:vAlign w:val="center"/>
          </w:tcPr>
          <w:p>
            <w:pPr>
              <w:pStyle w:val="TableContents"/>
              <w:bidi w:val="0"/>
              <w:spacing w:before="0" w:after="283"/>
              <w:jc w:val="right"/>
              <w:rPr/>
            </w:pPr>
            <w:r>
              <w:rPr/>
              <w:t>2,649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shd w:fill="FFFFFF" w:val="clear"/>
            <w:vAlign w:val="center"/>
          </w:tcPr>
          <w:p>
            <w:pPr>
              <w:pStyle w:val="TableContents"/>
              <w:bidi w:val="0"/>
              <w:spacing w:before="0" w:after="283"/>
              <w:jc w:val="left"/>
              <w:rPr/>
            </w:pPr>
            <w:r>
              <w:rPr/>
              <w:t>Change in FV of derivative instruments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31" w:name="xdx_98D_ecustom--ChangeInFvOfDerivativeI"/>
            <w:bookmarkEnd w:id="331"/>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(1,686</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left"/>
              <w:rPr>
                <w:b/>
              </w:rPr>
            </w:pPr>
            <w:r>
              <w:rPr>
                <w:b/>
              </w:rPr>
              <w:t>Warrant liability – March 31, 2023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332" w:name="xdx_983_eus-gaap--ExtendedProductWarrant"/>
            <w:bookmarkEnd w:id="332"/>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963</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333" w:name="xdx_8A2_zi9NjNsmS3r3"/>
      <w:bookmarkEnd w:id="333"/>
      <w:r>
        <w:rPr>
          <w:caps w:val="false"/>
          <w:smallCaps w:val="false"/>
        </w:rPr>
        <w:t> </w:t>
      </w:r>
    </w:p>
    <w:p>
      <w:pPr>
        <w:pStyle w:val="TextBody"/>
        <w:bidi w:val="0"/>
        <w:jc w:val="both"/>
        <w:rPr>
          <w:rFonts w:ascii="Times New Roman;Times;Serif" w:hAnsi="Times New Roman;Times;Serif"/>
          <w:b/>
          <w:i/>
          <w:caps w:val="false"/>
          <w:smallCaps w:val="false"/>
          <w:sz w:val="20"/>
        </w:rPr>
      </w:pPr>
      <w:bookmarkStart w:id="334" w:name="xdx_863_z5Ehx7l7Nq85"/>
      <w:bookmarkStart w:id="335" w:name="xdx_849_eus-gaap--FairValueOfFinancialIn"/>
      <w:bookmarkEnd w:id="334"/>
      <w:bookmarkEnd w:id="335"/>
      <w:r>
        <w:rPr>
          <w:rFonts w:ascii="Times New Roman;Times;Serif" w:hAnsi="Times New Roman;Times;Serif"/>
          <w:b/>
          <w:i/>
          <w:caps w:val="false"/>
          <w:smallCaps w:val="false"/>
          <w:sz w:val="20"/>
        </w:rPr>
        <w:t>Fair Value of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and cash equivalents, accounts receivable, unbilled and other receivables and accounts payable. The Company determines the estimated fair value of such financial instruments presented in these financial statements using available market information and appropriate methodologies.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36" w:name="xdx_866_z098YsSUCTD1"/>
      <w:bookmarkStart w:id="337" w:name="xdx_841_eus-gaap--ImpairmentOrDisposalOf"/>
      <w:bookmarkEnd w:id="336"/>
      <w:bookmarkEnd w:id="337"/>
      <w:r>
        <w:rPr>
          <w:rFonts w:ascii="Times New Roman;Times;Serif" w:hAnsi="Times New Roman;Times;Serif"/>
          <w:b/>
          <w:i/>
          <w:caps w:val="false"/>
          <w:smallCaps w:val="false"/>
          <w:sz w:val="20"/>
        </w:rPr>
        <w:t>Carrying Value, Recoverability and Impairment of Long-Lived Assets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360 “Property, Plant, and Equipment” (“ASC 360”) for its long-lived assets. Pursuant to ASC 360-10-35-17, an impairment loss shall be recognized only if the carrying amount of a long-lived asset (asset group) is not recoverable and exceeds its fair value. The carrying amount of a long-lived asset (asset group) is not recoverable if it exceeds the sum of the undiscounted cash flows expected to result from the use and eventual disposition of the asset (asset group). That assessment shall be based on the carrying amount of the asset (asset group) at the date it is tested for recoverability. An impairment loss shall be measured as the amount by which the carrying amount of a long-lived asset (asset group) exceeds its fair value. Pursuant to ASC 360-10-35-20 if an impairment loss is recognized, the adjusted carrying amount of a long-lived asset shall be its new cost basis. For a depreciable long-lived asset, the new cost basis shall be depreciated (amortized) over the remaining useful life of that asset. Restoration of a previously recognized impairment loss is prohibited.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360-10-35-21, the Company’s long-lived asset (asset group) is tested for recoverability whenever events or changes in circumstances indicate that its carrying amount may not be recoverable. The Company considers the following to be some examples of such events or changes in circumstances that may trigger an impairment review: (a) significant decrease in the market price of a long-lived asset (asset group); (b) a significant adverse change in the extent or manner in which a long-lived asset (asset group) is being used or in its physical condition; (c) a significant adverse change in legal factors or in the business climate that could affect the value of a long-lived asset (asset group), including an adverse action or assessment by a regulator; (d) an accumulation of costs significantly in excess of the amount originally expected for the acquisition or construction of a long-lived asset (asset group); (e) a current-period operating or cash flow loss combined with a history of operating or cash flow losses or a projection or forecast that demonstrates continuing losses associated with the use of a long-lived asset (asset group); and (f) a current expectation that, more likely than not, a long-lived asset (asset group) will be sold or otherwise disposed of significantly before the end of its previously estimated useful life. The Company tests its long-lived assets for potential impairment indicators at least annually and more frequently upon the occurrence of such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its assessments, the Company recorded </w:t>
      </w:r>
      <w:bookmarkStart w:id="338" w:name="xdx_90D_ecustom--ImpairmentChargesOfLong"/>
      <w:bookmarkStart w:id="339" w:name="xdx_909_ecustom--ImpairmentChargesOfLong"/>
      <w:bookmarkStart w:id="340" w:name="xdx_90F_ecustom--ImpairmentChargesOfLong"/>
      <w:bookmarkEnd w:id="338"/>
      <w:bookmarkEnd w:id="339"/>
      <w:bookmarkEnd w:id="340"/>
      <w:r>
        <w:rPr>
          <w:rFonts w:ascii="Times New Roman;Times;Serif" w:hAnsi="Times New Roman;Times;Serif"/>
          <w:b w:val="false"/>
          <w:i w:val="false"/>
          <w:caps w:val="false"/>
          <w:smallCaps w:val="false"/>
          <w:sz w:val="20"/>
        </w:rPr>
        <w:t>no impairment charges on long-lived assets for the three months ended March 31, 2024 (Successor), for the period from March 15, 2023 to March 31, 2023 (Successor), and for the period from January 1, 2023 to March 14, 2023 (Predecessor).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41" w:name="xdx_23A_zbo9Z8Mvrsjh"/>
      <w:bookmarkEnd w:id="341"/>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342" w:name="xdx_863_zTyXh2DMAsng"/>
      <w:bookmarkStart w:id="343" w:name="xdx_84F_ecustom--RecentlyIssuedAccountin"/>
      <w:bookmarkEnd w:id="342"/>
      <w:bookmarkEnd w:id="343"/>
      <w:r>
        <w:rPr>
          <w:rFonts w:ascii="Times New Roman;Times;Serif" w:hAnsi="Times New Roman;Times;Serif"/>
          <w:b/>
          <w:i/>
          <w:caps w:val="false"/>
          <w:smallCaps w:val="false"/>
          <w:sz w:val="20"/>
        </w:rPr>
        <w:t>Recently Issued Accounting Standards Not Yet Adopted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2023-06 “Disclosure Improvements”, which amends the codification in response to the SEC’s Disclosure Update and Simplification Initiative. The effective date of this update is for fiscal years beginning after June 30, 2027, including interim periods within those fiscal years. The Company is currently assessing potential impact of ASU 2023-06 and does not expect the adoption of this guidance will have a material impact on its condensed consolidated financial statements and disclosures.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2023, the FASB issued three ASU’s: No. 2023-07 “Segment Reporting (Topic 280)”, No. 2023-08 “Intangibles  Goodwill and Other  Crypto Assets (Subtopic 350-60), and No. 2023-09 “Income Taxes (Topic 740)”. The Management sees the Company as one single unit, instead of as segments, leading to a more in-depth consideration should FASB ASU No. 2023-07 be considered. FASB ASU No. 2023-07 is effective after fiscal year ended December 15, 2023. The effects of ASU 2023-08 and ASU 2023-09 are both being considered and assessed for their potential effects, but the Company does not expect any material impact on the financial statements and disclosures. Both FASB ASU 2023-08 and 2023-09 are effective after fiscal year ended December 15,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2024-01, “Compensation—Stock Compensation (Topic 718): Scope Application of Profits Interest and Similar Awards,” which clarifies how an entity determines whether a profits interest or similar award is within the scope of Topic 718, or is not a share-based payment arrangement and therefore within the scope of other guidance. ASU 2024-01 adds an example with multiple fact patterns and illustrates how an entity evaluates common terms and characteristics of profits interests and similar awards to reach a conclusion about whether an award meets the conditions in Topic 718. It also amends certain language in the “Scope” and “Scope Exceptions” sections of Topic 718 to improve its clarity and operability without changing the guidance. ASU 2024-01 is effective for the Company for fiscal years beginning after December 15, 2024, and interim periods within those fiscal years. Entities may apply the guidance either retrospectively to all periods presented in the financial statements or prospectively to profits interest and similar awards granted or modified on or after the date of adoption. We are currently evaluating the impact of this standard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March 2024, the FASB issued ASU 2024-02 “Codification Improvements—Amendments to Remove References to the Concept Statements,” which amends the Codification to remove references to various FASB Concepts Statements and impacts a variety of Topics in the Codification. The amendments apply to all reporting entities within the scope of the affected accounting guidance, but in most instances the references removed are extraneous and are not required to understand or apply the guidance. Generally, the amendments in ASU 2024-02 are not intended to result in significant accounting changes for most entities. ASU 2024-02 is effective for the Company for fiscal years beginning after December 15, 2024, and interim periods within those fiscal years. Entities may apply the guidance either retrospectively to the beginning of the earliest comparative period presented or prospectively to all new or modified transactions recognized on or after the date of adoption. We are currently evaluating the impact of this standard on our consolidated financial statements.</w:t>
      </w:r>
    </w:p>
    <w:p>
      <w:pPr>
        <w:pStyle w:val="TextBody"/>
        <w:bidi w:val="0"/>
        <w:jc w:val="left"/>
        <w:rPr>
          <w:caps w:val="false"/>
          <w:smallCaps w:val="false"/>
        </w:rPr>
      </w:pPr>
      <w:bookmarkStart w:id="344" w:name="xdx_233_zmMFnz9gQm8d"/>
      <w:bookmarkEnd w:id="344"/>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jc w:val="left"/>
        <w:rPr>
          <w:caps w:val="false"/>
          <w:smallCaps w:val="false"/>
        </w:rPr>
      </w:pPr>
      <w:bookmarkStart w:id="345" w:name="xdx_23D_zCRq6e125bP8"/>
      <w:bookmarkEnd w:id="345"/>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46" w:name="xdx_23A_zRRsh1vPFff8"/>
      <w:bookmarkEnd w:id="346"/>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bookmarkStart w:id="347" w:name="xdx_239_zJtWeZYtZJHl"/>
      <w:bookmarkEnd w:id="347"/>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48" w:name="xdx_802_eus-gaap--BusinessCombinationDis"/>
      <w:bookmarkEnd w:id="348"/>
      <w:r>
        <w:rPr>
          <w:rFonts w:ascii="Times New Roman;Times;Serif" w:hAnsi="Times New Roman;Times;Serif"/>
          <w:b/>
          <w:i w:val="false"/>
          <w:caps w:val="false"/>
          <w:smallCaps w:val="false"/>
          <w:sz w:val="20"/>
        </w:rPr>
        <w:t xml:space="preserve">NOTE 3 – </w:t>
      </w:r>
      <w:bookmarkStart w:id="349" w:name="xdx_824_zRWC5ZoYKYqd"/>
      <w:bookmarkEnd w:id="349"/>
      <w:r>
        <w:rPr>
          <w:rFonts w:ascii="Times New Roman;Times;Serif" w:hAnsi="Times New Roman;Times;Serif"/>
          <w:b/>
          <w:i w:val="false"/>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the Company completed the Agreement and Plan of Merger (the “Merger Agreement”), by and among KINS, Inpixon, CXApp, and KINS Merger Sub Inc., a Delaware corporation and a wholly-owned subsidiary of KINS (“Merger Sub”), pursuant to which KINS combined with Legacy CXApp, Inpixon’s enterprise apps business (including its workplace experience technologies, indoor mapping, events platform, augmented reality and related business solutions) (the “Enterprise Apps Business”). In exchange for the aggregate purchase price of approximately $</w:t>
      </w:r>
      <w:bookmarkStart w:id="350" w:name="xdx_90C_ecustom--AggregatePurchasePriceA"/>
      <w:bookmarkEnd w:id="350"/>
      <w:r>
        <w:rPr>
          <w:rFonts w:ascii="Times New Roman;Times;Serif" w:hAnsi="Times New Roman;Times;Serif"/>
          <w:b w:val="false"/>
          <w:i w:val="false"/>
          <w:caps w:val="false"/>
          <w:smallCaps w:val="false"/>
          <w:sz w:val="20"/>
        </w:rPr>
        <w:t xml:space="preserve">69,928 thousand, the Company acquired all of the related assets and liabilities of Legacy CXApp. The consideration transferred in connection with the Business Combination consisted of </w:t>
      </w:r>
      <w:bookmarkStart w:id="351" w:name="xdx_908_ecustom--ConsiderationTransferre"/>
      <w:bookmarkEnd w:id="351"/>
      <w:r>
        <w:rPr>
          <w:rFonts w:ascii="Times New Roman;Times;Serif" w:hAnsi="Times New Roman;Times;Serif"/>
          <w:b w:val="false"/>
          <w:i w:val="false"/>
          <w:caps w:val="false"/>
          <w:smallCaps w:val="false"/>
          <w:sz w:val="20"/>
        </w:rPr>
        <w:t xml:space="preserve">1,547,700 shares of the Company’s Class A Common Stock and </w:t>
      </w:r>
      <w:bookmarkStart w:id="352" w:name="xdx_90A_ecustom--ConsiderationTransferre"/>
      <w:bookmarkEnd w:id="352"/>
      <w:r>
        <w:rPr>
          <w:rFonts w:ascii="Times New Roman;Times;Serif" w:hAnsi="Times New Roman;Times;Serif"/>
          <w:b w:val="false"/>
          <w:i w:val="false"/>
          <w:caps w:val="false"/>
          <w:smallCaps w:val="false"/>
          <w:sz w:val="20"/>
        </w:rPr>
        <w:t>5,487,300 shares of the Company’s Class C Common Stock valued at a price of $</w:t>
      </w:r>
      <w:bookmarkStart w:id="353" w:name="xdx_906_eus-gaap--SharePrice_c20230314__"/>
      <w:bookmarkEnd w:id="353"/>
      <w:r>
        <w:rPr>
          <w:rFonts w:ascii="Times New Roman;Times;Serif" w:hAnsi="Times New Roman;Times;Serif"/>
          <w:b w:val="false"/>
          <w:i w:val="false"/>
          <w:caps w:val="false"/>
          <w:smallCaps w:val="false"/>
          <w:sz w:val="20"/>
        </w:rPr>
        <w:t>9.94 per share. The preliminary estimated goodwill of approximately $</w:t>
      </w:r>
      <w:bookmarkStart w:id="354" w:name="xdx_90A_eus-gaap--BusinessCombinationRec"/>
      <w:bookmarkEnd w:id="354"/>
      <w:r>
        <w:rPr>
          <w:rFonts w:ascii="Times New Roman;Times;Serif" w:hAnsi="Times New Roman;Times;Serif"/>
          <w:b w:val="false"/>
          <w:i w:val="false"/>
          <w:caps w:val="false"/>
          <w:smallCaps w:val="false"/>
          <w:sz w:val="20"/>
        </w:rPr>
        <w:t>44,200 thousand arising from the Business Combination consists of an acquired workforce, as well as synergies expected from combined operations of KINS and the CXApp.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Class A and Class C common stock. Class A common stock and New CXApp Class C common stock are identical in all respects, except that New CXApp Class C common stock is not listed and will automatically convert into New CXApp Class A common stock on the earlier to occur of (i) the 180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closing of the Merger which has expired and (ii) the day that the last reported sale price of New CXApp Class A common stock equals or exceeds $12.00 per share for any 20 trading days within any 30-trading day period following the closing of the Merger.</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is being accounted for as a business combination in accordance with ASC 805. The Company has determined fair values of the assets acquired and liabilities assumed in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allocated the purchase price of the Business Combination to the assets acquired and the liabilities assumed as of the closing date. The following table summarizes the purchase price allocations relating to the Business Combination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5" w:name="xdx_890_eus-gaap--ScheduleOfRecognizedId"/>
      <w:bookmarkStart w:id="356" w:name="xdx_890_eus-gaap--ScheduleOfRecognizedId"/>
      <w:bookmarkEnd w:id="356"/>
    </w:p>
    <w:tbl>
      <w:tblPr>
        <w:tblW w:w="6149" w:type="dxa"/>
        <w:jc w:val="left"/>
        <w:tblInd w:w="0" w:type="dxa"/>
        <w:tblLayout w:type="fixed"/>
        <w:tblCellMar>
          <w:top w:w="0" w:type="dxa"/>
          <w:left w:w="0" w:type="dxa"/>
          <w:bottom w:w="0" w:type="dxa"/>
          <w:right w:w="0" w:type="dxa"/>
        </w:tblCellMar>
      </w:tblPr>
      <w:tblGrid>
        <w:gridCol w:w="3650"/>
        <w:gridCol w:w="60"/>
        <w:gridCol w:w="190"/>
        <w:gridCol w:w="924"/>
        <w:gridCol w:w="60"/>
        <w:gridCol w:w="60"/>
        <w:gridCol w:w="1130"/>
        <w:gridCol w:w="75"/>
      </w:tblGrid>
      <w:tr>
        <w:trPr/>
        <w:tc>
          <w:tcPr>
            <w:tcW w:w="3650" w:type="dxa"/>
            <w:tcBorders/>
            <w:shd w:fill="FFFFFF" w:val="clear"/>
            <w:vAlign w:val="center"/>
          </w:tcPr>
          <w:p>
            <w:pPr>
              <w:pStyle w:val="TableContents"/>
              <w:bidi w:val="0"/>
              <w:spacing w:before="0" w:after="283"/>
              <w:ind w:left="0" w:right="0" w:hanging="180"/>
              <w:jc w:val="left"/>
              <w:rPr/>
            </w:pPr>
            <w:r>
              <w:rPr/>
              <w:t> </w:t>
            </w:r>
            <w:bookmarkStart w:id="357" w:name="xdx_8B9_zUeYEooTbyT"/>
            <w:bookmarkEnd w:id="357"/>
            <w:r>
              <w:rPr/>
              <w:t>Schedule of assets acquired</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bottom w:val="single" w:sz="8" w:space="0" w:color="000000"/>
            </w:tcBorders>
            <w:tcMar>
              <w:bottom w:w="28" w:type="dxa"/>
            </w:tcMar>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Useful Life</w:t>
              <w:br/>
              <w:t>(in years)</w:t>
            </w:r>
          </w:p>
        </w:tc>
        <w:tc>
          <w:tcPr>
            <w:tcW w:w="75" w:type="dxa"/>
            <w:tcBorders/>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Purchase Price</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58" w:name="xdx_985_ecustom--PurchasePrice_c20230314"/>
            <w:bookmarkEnd w:id="358"/>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pPr>
            <w:r>
              <w:rPr/>
              <w:t>69,928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Assets acquired:</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bookmarkStart w:id="359" w:name="xdx_989_eus-gaap--BusinessCombinationRec"/>
            <w:bookmarkEnd w:id="359"/>
          </w:p>
        </w:tc>
        <w:tc>
          <w:tcPr>
            <w:tcW w:w="924" w:type="dxa"/>
            <w:tcBorders/>
            <w:shd w:fill="FFFFFF" w:val="clear"/>
            <w:vAlign w:val="center"/>
          </w:tcPr>
          <w:p>
            <w:pPr>
              <w:pStyle w:val="TableContents"/>
              <w:bidi w:val="0"/>
              <w:spacing w:before="0" w:after="283"/>
              <w:jc w:val="right"/>
              <w:rPr/>
            </w:pPr>
            <w:r>
              <w:rPr/>
              <w:t>10,003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360" w:name="xdx_985_eus-gaap--BusinessCombinationRec"/>
            <w:bookmarkEnd w:id="360"/>
          </w:p>
        </w:tc>
        <w:tc>
          <w:tcPr>
            <w:tcW w:w="924" w:type="dxa"/>
            <w:tcBorders/>
            <w:shd w:fill="CCEEFF" w:val="clear"/>
            <w:vAlign w:val="center"/>
          </w:tcPr>
          <w:p>
            <w:pPr>
              <w:pStyle w:val="TableContents"/>
              <w:bidi w:val="0"/>
              <w:spacing w:before="0" w:after="283"/>
              <w:jc w:val="right"/>
              <w:rPr/>
            </w:pPr>
            <w:r>
              <w:rPr/>
              <w:t>2,226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Notes and other receivables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361" w:name="xdx_988_ecustom--BusinessCombinationReco"/>
            <w:bookmarkEnd w:id="361"/>
          </w:p>
        </w:tc>
        <w:tc>
          <w:tcPr>
            <w:tcW w:w="924" w:type="dxa"/>
            <w:tcBorders/>
            <w:shd w:fill="FFFFFF" w:val="clear"/>
            <w:vAlign w:val="center"/>
          </w:tcPr>
          <w:p>
            <w:pPr>
              <w:pStyle w:val="TableContents"/>
              <w:bidi w:val="0"/>
              <w:spacing w:before="0" w:after="283"/>
              <w:jc w:val="right"/>
              <w:rPr/>
            </w:pPr>
            <w:r>
              <w:rPr/>
              <w:t>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Prepaid assets and other current assets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362" w:name="xdx_986_eus-gaap--BusinessCombinationRec"/>
            <w:bookmarkEnd w:id="362"/>
          </w:p>
        </w:tc>
        <w:tc>
          <w:tcPr>
            <w:tcW w:w="924" w:type="dxa"/>
            <w:tcBorders/>
            <w:shd w:fill="CCEEFF" w:val="clear"/>
            <w:vAlign w:val="center"/>
          </w:tcPr>
          <w:p>
            <w:pPr>
              <w:pStyle w:val="TableContents"/>
              <w:bidi w:val="0"/>
              <w:spacing w:before="0" w:after="283"/>
              <w:jc w:val="right"/>
              <w:rPr/>
            </w:pPr>
            <w:r>
              <w:rPr/>
              <w:t>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Operating lease right of use asset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363" w:name="xdx_98F_ecustom--BusinessCombinationReco"/>
            <w:bookmarkEnd w:id="363"/>
          </w:p>
        </w:tc>
        <w:tc>
          <w:tcPr>
            <w:tcW w:w="924" w:type="dxa"/>
            <w:tcBorders/>
            <w:shd w:fill="FFFFFF" w:val="clear"/>
            <w:vAlign w:val="center"/>
          </w:tcPr>
          <w:p>
            <w:pPr>
              <w:pStyle w:val="TableContents"/>
              <w:bidi w:val="0"/>
              <w:spacing w:before="0" w:after="283"/>
              <w:jc w:val="right"/>
              <w:rPr/>
            </w:pPr>
            <w:r>
              <w:rPr/>
              <w:t>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bookmarkStart w:id="364" w:name="xdx_90D_eus-gaap--AcquiredFiniteLivedInt"/>
            <w:bookmarkEnd w:id="364"/>
            <w:r>
              <w:rPr/>
              <w:t>3 years</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365" w:name="xdx_981_eus-gaap--BusinessCombinationRec"/>
            <w:bookmarkEnd w:id="365"/>
          </w:p>
        </w:tc>
        <w:tc>
          <w:tcPr>
            <w:tcW w:w="924"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bookmarkStart w:id="366" w:name="xdx_90E_eus-gaap--AcquiredFiniteLivedInt"/>
            <w:bookmarkEnd w:id="366"/>
            <w:r>
              <w:rPr/>
              <w:t>3 years</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367" w:name="xdx_988_eus-gaap--BusinessCombinationRec"/>
            <w:bookmarkEnd w:id="367"/>
          </w:p>
        </w:tc>
        <w:tc>
          <w:tcPr>
            <w:tcW w:w="924" w:type="dxa"/>
            <w:tcBorders/>
            <w:shd w:fill="FFFFFF" w:val="clear"/>
            <w:vAlign w:val="center"/>
          </w:tcPr>
          <w:p>
            <w:pPr>
              <w:pStyle w:val="TableContents"/>
              <w:bidi w:val="0"/>
              <w:spacing w:before="0" w:after="283"/>
              <w:jc w:val="right"/>
              <w:rPr/>
            </w:pPr>
            <w:r>
              <w:rPr/>
              <w:t>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368" w:name="xdx_983_eus-gaap--BusinessCombinationRec"/>
            <w:bookmarkEnd w:id="368"/>
          </w:p>
        </w:tc>
        <w:tc>
          <w:tcPr>
            <w:tcW w:w="924" w:type="dxa"/>
            <w:tcBorders/>
            <w:shd w:fill="CCEEFF" w:val="clear"/>
            <w:vAlign w:val="center"/>
          </w:tcPr>
          <w:p>
            <w:pPr>
              <w:pStyle w:val="TableContents"/>
              <w:bidi w:val="0"/>
              <w:spacing w:before="0" w:after="283"/>
              <w:jc w:val="right"/>
              <w:rPr/>
            </w:pPr>
            <w:r>
              <w:rPr/>
              <w:t>8,697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bookmarkStart w:id="369" w:name="xdx_90D_eus-gaap--AcquiredFiniteLivedInt"/>
            <w:bookmarkEnd w:id="369"/>
            <w:r>
              <w:rPr/>
              <w:t>10 years</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Patents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370" w:name="xdx_981_eus-gaap--BusinessCombinationRec"/>
            <w:bookmarkEnd w:id="370"/>
          </w:p>
        </w:tc>
        <w:tc>
          <w:tcPr>
            <w:tcW w:w="924" w:type="dxa"/>
            <w:tcBorders/>
            <w:shd w:fill="FFFFFF" w:val="clear"/>
            <w:vAlign w:val="center"/>
          </w:tcPr>
          <w:p>
            <w:pPr>
              <w:pStyle w:val="TableContents"/>
              <w:bidi w:val="0"/>
              <w:spacing w:before="0" w:after="283"/>
              <w:jc w:val="right"/>
              <w:rPr/>
            </w:pPr>
            <w:r>
              <w:rPr/>
              <w:t>2,703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bookmarkStart w:id="371" w:name="xdx_90E_eus-gaap--AcquiredFiniteLivedInt"/>
            <w:bookmarkEnd w:id="371"/>
            <w:r>
              <w:rPr/>
              <w:t>10 years</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372" w:name="xdx_98D_eus-gaap--BusinessCombinationRec"/>
            <w:bookmarkEnd w:id="372"/>
          </w:p>
        </w:tc>
        <w:tc>
          <w:tcPr>
            <w:tcW w:w="924" w:type="dxa"/>
            <w:tcBorders/>
            <w:shd w:fill="CCEEFF" w:val="clear"/>
            <w:vAlign w:val="center"/>
          </w:tcPr>
          <w:p>
            <w:pPr>
              <w:pStyle w:val="TableContents"/>
              <w:bidi w:val="0"/>
              <w:spacing w:before="0" w:after="283"/>
              <w:jc w:val="right"/>
              <w:rPr/>
            </w:pPr>
            <w:r>
              <w:rPr/>
              <w:t>5,604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bookmarkStart w:id="373" w:name="xdx_901_eus-gaap--AcquiredFiniteLivedInt"/>
            <w:bookmarkEnd w:id="373"/>
            <w:r>
              <w:rPr/>
              <w:t>5 years</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Tradenames and trademarks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74" w:name="xdx_98E_eus-gaap--BusinessCombinationRec"/>
            <w:bookmarkEnd w:id="374"/>
          </w:p>
        </w:tc>
        <w:tc>
          <w:tcPr>
            <w:tcW w:w="924" w:type="dxa"/>
            <w:tcBorders>
              <w:bottom w:val="single" w:sz="8" w:space="0" w:color="000000"/>
            </w:tcBorders>
            <w:shd w:fill="FFFFFF" w:val="clear"/>
            <w:tcMar>
              <w:bottom w:w="28" w:type="dxa"/>
            </w:tcMar>
            <w:vAlign w:val="center"/>
          </w:tcPr>
          <w:p>
            <w:pPr>
              <w:pStyle w:val="TableContents"/>
              <w:bidi w:val="0"/>
              <w:spacing w:before="0" w:after="283"/>
              <w:jc w:val="right"/>
              <w:rPr/>
            </w:pPr>
            <w:r>
              <w:rPr/>
              <w:t>3,294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bookmarkStart w:id="375" w:name="xdx_904_eus-gaap--AcquiredFiniteLivedInt"/>
            <w:bookmarkEnd w:id="375"/>
            <w:r>
              <w:rPr/>
              <w:t>7 years</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Total assets acquired</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76" w:name="xdx_980_eus-gaap--BusinessCombinationRec"/>
            <w:bookmarkEnd w:id="376"/>
          </w:p>
        </w:tc>
        <w:tc>
          <w:tcPr>
            <w:tcW w:w="924" w:type="dxa"/>
            <w:tcBorders>
              <w:bottom w:val="double" w:sz="6" w:space="0" w:color="000000"/>
            </w:tcBorders>
            <w:shd w:fill="CCEEFF" w:val="clear"/>
            <w:tcMar>
              <w:bottom w:w="28" w:type="dxa"/>
            </w:tcMar>
            <w:vAlign w:val="center"/>
          </w:tcPr>
          <w:p>
            <w:pPr>
              <w:pStyle w:val="TableContents"/>
              <w:bidi w:val="0"/>
              <w:spacing w:before="0" w:after="283"/>
              <w:jc w:val="right"/>
              <w:rPr/>
            </w:pPr>
            <w:r>
              <w:rPr/>
              <w:t>33,876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Liabilities assumed:</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bookmarkStart w:id="377" w:name="xdx_987_eus-gaap--BusinessCombinationRec"/>
            <w:bookmarkEnd w:id="377"/>
          </w:p>
        </w:tc>
        <w:tc>
          <w:tcPr>
            <w:tcW w:w="924" w:type="dxa"/>
            <w:tcBorders/>
            <w:shd w:fill="FFFFFF" w:val="clear"/>
            <w:vAlign w:val="center"/>
          </w:tcPr>
          <w:p>
            <w:pPr>
              <w:pStyle w:val="TableContents"/>
              <w:bidi w:val="0"/>
              <w:spacing w:before="0" w:after="283"/>
              <w:jc w:val="right"/>
              <w:rPr/>
            </w:pPr>
            <w:r>
              <w:rPr/>
              <w:t>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378" w:name="xdx_98B_ecustom--BusinessCombinationReco"/>
            <w:bookmarkEnd w:id="378"/>
          </w:p>
        </w:tc>
        <w:tc>
          <w:tcPr>
            <w:tcW w:w="924" w:type="dxa"/>
            <w:tcBorders/>
            <w:shd w:fill="CCEEFF" w:val="clear"/>
            <w:vAlign w:val="center"/>
          </w:tcPr>
          <w:p>
            <w:pPr>
              <w:pStyle w:val="TableContents"/>
              <w:bidi w:val="0"/>
              <w:spacing w:before="0" w:after="283"/>
              <w:jc w:val="right"/>
              <w:rPr/>
            </w:pPr>
            <w:r>
              <w:rPr/>
              <w:t>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Deferred revenues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379" w:name="xdx_984_eus-gaap--BusinessCombinationRec"/>
            <w:bookmarkEnd w:id="379"/>
          </w:p>
        </w:tc>
        <w:tc>
          <w:tcPr>
            <w:tcW w:w="924" w:type="dxa"/>
            <w:tcBorders/>
            <w:shd w:fill="FFFFFF" w:val="clear"/>
            <w:vAlign w:val="center"/>
          </w:tcPr>
          <w:p>
            <w:pPr>
              <w:pStyle w:val="TableContents"/>
              <w:bidi w:val="0"/>
              <w:spacing w:before="0" w:after="283"/>
              <w:jc w:val="right"/>
              <w:rPr/>
            </w:pPr>
            <w:r>
              <w:rPr/>
              <w:t>2,534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Operating lease obligation, current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380" w:name="xdx_983_ecustom--BusinessCombinationReco"/>
            <w:bookmarkEnd w:id="380"/>
          </w:p>
        </w:tc>
        <w:tc>
          <w:tcPr>
            <w:tcW w:w="924" w:type="dxa"/>
            <w:tcBorders/>
            <w:shd w:fill="CCEEFF" w:val="clear"/>
            <w:vAlign w:val="center"/>
          </w:tcPr>
          <w:p>
            <w:pPr>
              <w:pStyle w:val="TableContents"/>
              <w:bidi w:val="0"/>
              <w:spacing w:before="0" w:after="283"/>
              <w:jc w:val="right"/>
              <w:rPr/>
            </w:pPr>
            <w:r>
              <w:rPr/>
              <w:t>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Operating lease obligation, noncurrent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381" w:name="xdx_984_ecustom--BusinessCombinationReco"/>
            <w:bookmarkEnd w:id="381"/>
          </w:p>
        </w:tc>
        <w:tc>
          <w:tcPr>
            <w:tcW w:w="924" w:type="dxa"/>
            <w:tcBorders/>
            <w:shd w:fill="FFFFFF" w:val="clear"/>
            <w:vAlign w:val="center"/>
          </w:tcPr>
          <w:p>
            <w:pPr>
              <w:pStyle w:val="TableContents"/>
              <w:bidi w:val="0"/>
              <w:spacing w:before="0" w:after="283"/>
              <w:jc w:val="right"/>
              <w:rPr/>
            </w:pPr>
            <w:r>
              <w:rPr/>
              <w:t>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82" w:name="xdx_98E_eus-gaap--BusinessCombinationRec"/>
            <w:bookmarkEnd w:id="382"/>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pPr>
            <w:r>
              <w:rPr/>
              <w:t>4,217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Total liabilities assumed</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83" w:name="xdx_98B_eus-gaap--BusinessCombinationRec"/>
            <w:bookmarkEnd w:id="383"/>
          </w:p>
        </w:tc>
        <w:tc>
          <w:tcPr>
            <w:tcW w:w="924" w:type="dxa"/>
            <w:tcBorders>
              <w:bottom w:val="single" w:sz="8" w:space="0" w:color="000000"/>
            </w:tcBorders>
            <w:shd w:fill="FFFFFF" w:val="clear"/>
            <w:tcMar>
              <w:bottom w:w="28" w:type="dxa"/>
            </w:tcMar>
            <w:vAlign w:val="center"/>
          </w:tcPr>
          <w:p>
            <w:pPr>
              <w:pStyle w:val="TableContents"/>
              <w:bidi w:val="0"/>
              <w:spacing w:before="0" w:after="283"/>
              <w:jc w:val="right"/>
              <w:rPr/>
            </w:pPr>
            <w:r>
              <w:rPr/>
              <w:t>8,741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84" w:name="xdx_98E_eus-gaap--BusinessCombinationRec"/>
            <w:bookmarkEnd w:id="384"/>
          </w:p>
        </w:tc>
        <w:tc>
          <w:tcPr>
            <w:tcW w:w="924" w:type="dxa"/>
            <w:tcBorders>
              <w:bottom w:val="double" w:sz="6" w:space="0" w:color="000000"/>
            </w:tcBorders>
            <w:shd w:fill="CCEEFF" w:val="clear"/>
            <w:tcMar>
              <w:bottom w:w="28" w:type="dxa"/>
            </w:tcMar>
            <w:vAlign w:val="center"/>
          </w:tcPr>
          <w:p>
            <w:pPr>
              <w:pStyle w:val="TableContents"/>
              <w:bidi w:val="0"/>
              <w:spacing w:before="0" w:after="283"/>
              <w:jc w:val="right"/>
              <w:rPr/>
            </w:pPr>
            <w:r>
              <w:rPr/>
              <w:t>44,793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385" w:name="xdx_8A1_zIt33ey1RAsi"/>
      <w:bookmarkEnd w:id="385"/>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jc w:val="left"/>
        <w:rPr>
          <w:caps w:val="false"/>
          <w:smallCaps w:val="false"/>
        </w:rPr>
      </w:pPr>
      <w:bookmarkStart w:id="386" w:name="xdx_235_zs73V7paPVe8"/>
      <w:bookmarkEnd w:id="386"/>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87" w:name="xdx_235_zXxH4r8uiQd9"/>
      <w:bookmarkEnd w:id="387"/>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intangible assets were calculated by a third party valuation firm based on projections and financial data provided by management of the Company. Goodwill represents the excess fair value after allocation to the intangible assets. The calculated goodwill is not deductible for tax purposes.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acquisition-related costs for the Business Combination were approximately $3,543 thousand. Of the total acquisition-related costs, approximately $</w:t>
      </w:r>
      <w:bookmarkStart w:id="388" w:name="xdx_902_eus-gaap--BusinessCombinationAcq"/>
      <w:bookmarkEnd w:id="388"/>
      <w:r>
        <w:rPr>
          <w:rFonts w:ascii="Times New Roman;Times;Serif" w:hAnsi="Times New Roman;Times;Serif"/>
          <w:b w:val="false"/>
          <w:i w:val="false"/>
          <w:caps w:val="false"/>
          <w:smallCaps w:val="false"/>
          <w:sz w:val="20"/>
        </w:rPr>
        <w:t>3,000 thousand were incurred by KINS prior to the close of the Business Combination. These costs are included in the opening retained earnings of the Company on March 15, 2023. The remaining $</w:t>
      </w:r>
      <w:bookmarkStart w:id="389" w:name="xdx_902_eus-gaap--BusinessCombinationAcq"/>
      <w:bookmarkEnd w:id="389"/>
      <w:r>
        <w:rPr>
          <w:rFonts w:ascii="Times New Roman;Times;Serif" w:hAnsi="Times New Roman;Times;Serif"/>
          <w:b w:val="false"/>
          <w:i w:val="false"/>
          <w:caps w:val="false"/>
          <w:smallCaps w:val="false"/>
          <w:sz w:val="20"/>
        </w:rPr>
        <w:t>543 thousand of acquisition-related costs were recorded as expense in the successor period and are included in acquisition related costs on the statements of operations for the year ended December 31,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Measurement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 price allocations for the acquisitions described above are based on initial estimates and provisional amounts. In accordance with ASC 805-10-25-13, if the initial accounting for a business combination is incomplete by the end of the reporting period in which the combination occurs, the acquirer shall report in its financial statements provisional amounts for the items for which the accounting is incomplete. During the measurement period, acquirer shall adjust the provisional amounts recognized at the acquisition date to reflect new information obtained about facts and circumstances that existed as of the acquisition date that, if known, would have affected the measurement of the amounts recognized as of that date. The </w:t>
      </w:r>
      <w:bookmarkStart w:id="390" w:name="xdx_904_ecustom--MeasurementPeriodAdjust"/>
      <w:bookmarkEnd w:id="390"/>
      <w:r>
        <w:rPr>
          <w:rFonts w:ascii="Times New Roman;Times;Serif" w:hAnsi="Times New Roman;Times;Serif"/>
          <w:b w:val="false"/>
          <w:i w:val="false"/>
          <w:caps w:val="false"/>
          <w:smallCaps w:val="false"/>
          <w:sz w:val="20"/>
        </w:rPr>
        <w:t>Company continued to refine its inputs and estimates inherent in (i) the valuation of intangible assets, (ii) deferred income taxes, (iii) realization of tangible assets and (iv) the accuracy and completeness of liabilities through March 14, 2024, when the purchase price allocation was finalized. For the period ended March 14, 2024 (Successor), there was no measurement period adjustment.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Proforma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proforma financial information presents the condensed consolidated results of operations of the Company for the three-month period ended March 31, 2023, as if the acquisition had occurred as of the beginning of the first period presented (January 1, 2023) instead of on March 14, 2023. The proforma information does not necessarily reflect the results of operations that would have occurred had the entities been a single company during those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proforma financial information for the Company and the acquired CXApp is as follows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91" w:name="xdx_893_eus-gaap--BusinessAcquisitionPro"/>
      <w:bookmarkStart w:id="392" w:name="xdx_893_eus-gaap--BusinessAcquisitionPro"/>
      <w:bookmarkEnd w:id="392"/>
    </w:p>
    <w:tbl>
      <w:tblPr>
        <w:tblW w:w="6494" w:type="dxa"/>
        <w:jc w:val="left"/>
        <w:tblInd w:w="0" w:type="dxa"/>
        <w:tblLayout w:type="fixed"/>
        <w:tblCellMar>
          <w:top w:w="0" w:type="dxa"/>
          <w:left w:w="0" w:type="dxa"/>
          <w:bottom w:w="0" w:type="dxa"/>
          <w:right w:w="0" w:type="dxa"/>
        </w:tblCellMar>
      </w:tblPr>
      <w:tblGrid>
        <w:gridCol w:w="4115"/>
        <w:gridCol w:w="60"/>
        <w:gridCol w:w="398"/>
        <w:gridCol w:w="1811"/>
        <w:gridCol w:w="110"/>
      </w:tblGrid>
      <w:tr>
        <w:trPr/>
        <w:tc>
          <w:tcPr>
            <w:tcW w:w="4115" w:type="dxa"/>
            <w:tcBorders/>
            <w:shd w:fill="FFFFFF" w:val="clear"/>
            <w:vAlign w:val="center"/>
          </w:tcPr>
          <w:p>
            <w:pPr>
              <w:pStyle w:val="TableContents"/>
              <w:bidi w:val="0"/>
              <w:spacing w:before="0" w:after="283"/>
              <w:ind w:left="0" w:right="0" w:hanging="180"/>
              <w:jc w:val="left"/>
              <w:rPr/>
            </w:pPr>
            <w:bookmarkStart w:id="393" w:name="xdx_8B1_zSeZNX7pKSPd"/>
            <w:bookmarkEnd w:id="393"/>
            <w:r>
              <w:rPr/>
              <w:t>Schedule of proforma financial information</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Three Months Ended</w:t>
              <w:br/>
              <w:t>March 31,</w:t>
              <w:br/>
              <w:t>2023</w:t>
            </w:r>
          </w:p>
        </w:tc>
        <w:tc>
          <w:tcPr>
            <w:tcW w:w="110" w:type="dxa"/>
            <w:tcBorders/>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w:t>
            </w:r>
            <w:bookmarkStart w:id="394" w:name="xdx_981_eus-gaap--BusinessAcquisitionsPr"/>
            <w:bookmarkEnd w:id="394"/>
          </w:p>
        </w:tc>
        <w:tc>
          <w:tcPr>
            <w:tcW w:w="1811" w:type="dxa"/>
            <w:tcBorders/>
            <w:shd w:fill="CCEEFF" w:val="clear"/>
            <w:vAlign w:val="center"/>
          </w:tcPr>
          <w:p>
            <w:pPr>
              <w:pStyle w:val="TableContents"/>
              <w:bidi w:val="0"/>
              <w:spacing w:before="0" w:after="283"/>
              <w:jc w:val="right"/>
              <w:rPr/>
            </w:pPr>
            <w:r>
              <w:rPr/>
              <w:t>1,962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bookmarkStart w:id="395" w:name="xdx_981_eus-gaap--BusinessAcquisitionsPr"/>
            <w:bookmarkEnd w:id="395"/>
          </w:p>
        </w:tc>
        <w:tc>
          <w:tcPr>
            <w:tcW w:w="1811" w:type="dxa"/>
            <w:tcBorders/>
            <w:shd w:fill="FFFFFF" w:val="clear"/>
            <w:vAlign w:val="center"/>
          </w:tcPr>
          <w:p>
            <w:pPr>
              <w:pStyle w:val="TableContents"/>
              <w:bidi w:val="0"/>
              <w:spacing w:before="0" w:after="283"/>
              <w:jc w:val="right"/>
              <w:rPr/>
            </w:pPr>
            <w:r>
              <w:rPr/>
              <w:t>(6,365</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396" w:name="xdx_8A8_zjgsXkXmb0T4"/>
      <w:bookmarkEnd w:id="396"/>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jc w:val="left"/>
        <w:rPr>
          <w:caps w:val="false"/>
          <w:smallCaps w:val="false"/>
        </w:rPr>
      </w:pPr>
      <w:bookmarkStart w:id="397" w:name="xdx_232_znJmaYdrnbdf"/>
      <w:bookmarkEnd w:id="397"/>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98" w:name="xdx_23C_zI39W0hVmtI"/>
      <w:bookmarkEnd w:id="398"/>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99" w:name="xdx_801_ecustom--DisaggregationOfRevenue"/>
      <w:bookmarkEnd w:id="399"/>
      <w:r>
        <w:rPr>
          <w:rFonts w:ascii="Times New Roman;Times;Serif" w:hAnsi="Times New Roman;Times;Serif"/>
          <w:b/>
          <w:i w:val="false"/>
          <w:caps w:val="false"/>
          <w:smallCaps w:val="false"/>
          <w:sz w:val="20"/>
        </w:rPr>
        <w:t xml:space="preserve">NOTE 4 – </w:t>
      </w:r>
      <w:bookmarkStart w:id="400" w:name="xdx_82C_zf0zh7WGrHl3"/>
      <w:bookmarkEnd w:id="400"/>
      <w:r>
        <w:rPr>
          <w:rFonts w:ascii="Times New Roman;Times;Serif" w:hAnsi="Times New Roman;Times;Serif"/>
          <w:b/>
          <w:i w:val="false"/>
          <w:caps w:val="false"/>
          <w:smallCaps w:val="false"/>
          <w:sz w:val="20"/>
        </w:rPr>
        <w:t>Disaggregation of 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control is transferred of the promised products or services to its customers, in an amount that reflects the consideration the Company expects to be entitled to in exchange for those products or services. The Company derives revenue from software as a service, design and implementation services for its enterprise apps solutions systems, and professional services for work performed in conjunction with its systems.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consisted of the following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01" w:name="xdx_894_eus-gaap--DisaggregationOfRevenu"/>
      <w:bookmarkStart w:id="402" w:name="xdx_894_eus-gaap--DisaggregationOfRevenu"/>
      <w:bookmarkEnd w:id="402"/>
    </w:p>
    <w:tbl>
      <w:tblPr>
        <w:tblW w:w="9574" w:type="dxa"/>
        <w:jc w:val="left"/>
        <w:tblInd w:w="0" w:type="dxa"/>
        <w:tblLayout w:type="fixed"/>
        <w:tblCellMar>
          <w:top w:w="0" w:type="dxa"/>
          <w:left w:w="0" w:type="dxa"/>
          <w:bottom w:w="0" w:type="dxa"/>
          <w:right w:w="0" w:type="dxa"/>
        </w:tblCellMar>
      </w:tblPr>
      <w:tblGrid>
        <w:gridCol w:w="3725"/>
        <w:gridCol w:w="60"/>
        <w:gridCol w:w="442"/>
        <w:gridCol w:w="1768"/>
        <w:gridCol w:w="60"/>
        <w:gridCol w:w="60"/>
        <w:gridCol w:w="433"/>
        <w:gridCol w:w="1176"/>
        <w:gridCol w:w="60"/>
        <w:gridCol w:w="60"/>
        <w:gridCol w:w="331"/>
        <w:gridCol w:w="1324"/>
        <w:gridCol w:w="75"/>
      </w:tblGrid>
      <w:tr>
        <w:trPr/>
        <w:tc>
          <w:tcPr>
            <w:tcW w:w="3725" w:type="dxa"/>
            <w:tcBorders/>
            <w:shd w:fill="FFFFFF" w:val="clear"/>
            <w:vAlign w:val="center"/>
          </w:tcPr>
          <w:p>
            <w:pPr>
              <w:pStyle w:val="TableContents"/>
              <w:bidi w:val="0"/>
              <w:spacing w:before="0" w:after="283"/>
              <w:ind w:left="0" w:right="0" w:hanging="180"/>
              <w:jc w:val="left"/>
              <w:rPr/>
            </w:pPr>
            <w:r>
              <w:rPr/>
              <w:t> </w:t>
            </w:r>
            <w:bookmarkStart w:id="403" w:name="xdx_8BD_zKq1lSL9qey5"/>
            <w:bookmarkEnd w:id="403"/>
            <w:r>
              <w:rPr/>
              <w:t>Schedule of disaggregation of revenue</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r>
          </w:p>
        </w:tc>
        <w:tc>
          <w:tcPr>
            <w:tcW w:w="75" w:type="dxa"/>
            <w:tcBorders/>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March 15, 2023</w:t>
              <w:br/>
              <w:t>to</w:t>
              <w:br/>
              <w:t>March 31,</w:t>
              <w:br/>
              <w:t>2023</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jc w:val="center"/>
              <w:rPr>
                <w:b/>
              </w:rPr>
            </w:pPr>
            <w:r>
              <w:rPr>
                <w:b/>
              </w:rPr>
              <w:t>Period from</w:t>
            </w:r>
          </w:p>
          <w:p>
            <w:pPr>
              <w:pStyle w:val="TableContents"/>
              <w:bidi w:val="0"/>
              <w:spacing w:before="0" w:after="283"/>
              <w:jc w:val="center"/>
              <w:rPr>
                <w:b/>
              </w:rPr>
            </w:pPr>
            <w:r>
              <w:rPr>
                <w:b/>
              </w:rPr>
              <w:t>January 1, 2023</w:t>
              <w:br/>
              <w:t>to</w:t>
              <w:br/>
              <w:t>March 14,</w:t>
              <w:br/>
              <w:t>2023</w:t>
            </w:r>
          </w:p>
        </w:tc>
        <w:tc>
          <w:tcPr>
            <w:tcW w:w="75"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b/>
              </w:rPr>
            </w:pPr>
            <w:r>
              <w:rPr>
                <w:b/>
              </w:rPr>
              <w:t>Subscription revenue</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shd w:fill="FFFFFF" w:val="clear"/>
            <w:vAlign w:val="center"/>
          </w:tcPr>
          <w:p>
            <w:pPr>
              <w:pStyle w:val="TableContents"/>
              <w:bidi w:val="0"/>
              <w:spacing w:before="0" w:after="283"/>
              <w:jc w:val="left"/>
              <w:rPr/>
            </w:pPr>
            <w:r>
              <w:rPr/>
              <w:t>Software</w:t>
            </w:r>
          </w:p>
        </w:tc>
        <w:tc>
          <w:tcPr>
            <w:tcW w:w="60" w:type="dxa"/>
            <w:tcBorders/>
            <w:shd w:fill="FFFFFF" w:val="clear"/>
            <w:vAlign w:val="center"/>
          </w:tcPr>
          <w:p>
            <w:pPr>
              <w:pStyle w:val="TableContents"/>
              <w:bidi w:val="0"/>
              <w:spacing w:before="0" w:after="283"/>
              <w:jc w:val="left"/>
              <w:rPr/>
            </w:pPr>
            <w:r>
              <w:rPr/>
              <w:t> </w:t>
            </w:r>
          </w:p>
        </w:tc>
        <w:tc>
          <w:tcPr>
            <w:tcW w:w="44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04" w:name="xdx_983_eus-gaap--Revenues_c20240101__20"/>
            <w:bookmarkEnd w:id="404"/>
          </w:p>
        </w:tc>
        <w:tc>
          <w:tcPr>
            <w:tcW w:w="1768" w:type="dxa"/>
            <w:tcBorders>
              <w:bottom w:val="single" w:sz="8" w:space="0" w:color="000000"/>
            </w:tcBorders>
            <w:shd w:fill="FFFFFF" w:val="clear"/>
            <w:tcMar>
              <w:bottom w:w="28" w:type="dxa"/>
            </w:tcMar>
            <w:vAlign w:val="center"/>
          </w:tcPr>
          <w:p>
            <w:pPr>
              <w:pStyle w:val="TableContents"/>
              <w:bidi w:val="0"/>
              <w:spacing w:before="0" w:after="283"/>
              <w:jc w:val="right"/>
              <w:rPr/>
            </w:pPr>
            <w:r>
              <w:rPr/>
              <w:t>1,588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05" w:name="xdx_98B_eus-gaap--Revenues_c20230315__20"/>
            <w:bookmarkEnd w:id="405"/>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240</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06" w:name="xdx_98D_eus-gaap--Revenues_c20230101__20"/>
            <w:bookmarkEnd w:id="406"/>
          </w:p>
        </w:tc>
        <w:tc>
          <w:tcPr>
            <w:tcW w:w="1324" w:type="dxa"/>
            <w:tcBorders>
              <w:bottom w:val="single" w:sz="8" w:space="0" w:color="000000"/>
            </w:tcBorders>
            <w:shd w:fill="FFFFFF" w:val="clear"/>
            <w:tcMar>
              <w:bottom w:w="28" w:type="dxa"/>
            </w:tcMar>
            <w:vAlign w:val="center"/>
          </w:tcPr>
          <w:p>
            <w:pPr>
              <w:pStyle w:val="TableContents"/>
              <w:bidi w:val="0"/>
              <w:spacing w:before="0" w:after="283"/>
              <w:jc w:val="right"/>
              <w:rPr/>
            </w:pPr>
            <w:r>
              <w:rPr/>
              <w:t>1,204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b/>
              </w:rPr>
            </w:pPr>
            <w:r>
              <w:rPr>
                <w:b/>
              </w:rPr>
              <w:t>Total subscription revenue</w:t>
            </w:r>
          </w:p>
        </w:tc>
        <w:tc>
          <w:tcPr>
            <w:tcW w:w="60" w:type="dxa"/>
            <w:tcBorders/>
            <w:shd w:fill="CCEEFF" w:val="clear"/>
            <w:vAlign w:val="center"/>
          </w:tcPr>
          <w:p>
            <w:pPr>
              <w:pStyle w:val="TableContents"/>
              <w:bidi w:val="0"/>
              <w:spacing w:before="0" w:after="283"/>
              <w:jc w:val="left"/>
              <w:rPr/>
            </w:pPr>
            <w:r>
              <w:rPr/>
              <w:t> </w:t>
            </w:r>
          </w:p>
        </w:tc>
        <w:tc>
          <w:tcPr>
            <w:tcW w:w="4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07" w:name="xdx_98F_eus-gaap--Revenues_c20240101__20"/>
            <w:bookmarkEnd w:id="407"/>
          </w:p>
        </w:tc>
        <w:tc>
          <w:tcPr>
            <w:tcW w:w="176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08" w:name="xdx_983_eus-gaap--Revenues_c20230315__20"/>
            <w:bookmarkEnd w:id="408"/>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240</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09" w:name="xdx_987_eus-gaap--Revenues_c20230101__20"/>
            <w:bookmarkEnd w:id="409"/>
          </w:p>
        </w:tc>
        <w:tc>
          <w:tcPr>
            <w:tcW w:w="132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1,204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b/>
              </w:rPr>
            </w:pPr>
            <w:r>
              <w:rPr>
                <w:b/>
              </w:rPr>
              <w:t>Non-subscription revenue</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44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10" w:name="xdx_988_eus-gaap--Revenues_c20240101__20"/>
            <w:bookmarkEnd w:id="410"/>
          </w:p>
        </w:tc>
        <w:tc>
          <w:tcPr>
            <w:tcW w:w="1768" w:type="dxa"/>
            <w:tcBorders>
              <w:bottom w:val="single" w:sz="8" w:space="0" w:color="000000"/>
            </w:tcBorders>
            <w:shd w:fill="FFFFFF" w:val="clear"/>
            <w:tcMar>
              <w:bottom w:w="28" w:type="dxa"/>
            </w:tcMar>
            <w:vAlign w:val="center"/>
          </w:tcPr>
          <w:p>
            <w:pPr>
              <w:pStyle w:val="TableContents"/>
              <w:bidi w:val="0"/>
              <w:spacing w:before="0" w:after="283"/>
              <w:jc w:val="right"/>
              <w:rPr/>
            </w:pPr>
            <w:r>
              <w:rPr/>
              <w:t>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11" w:name="xdx_985_eus-gaap--Revenues_c20230315__20"/>
            <w:bookmarkEnd w:id="411"/>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102</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12" w:name="xdx_981_eus-gaap--Revenues_c20230101__20"/>
            <w:bookmarkEnd w:id="412"/>
          </w:p>
        </w:tc>
        <w:tc>
          <w:tcPr>
            <w:tcW w:w="1324" w:type="dxa"/>
            <w:tcBorders>
              <w:bottom w:val="single" w:sz="8" w:space="0" w:color="000000"/>
            </w:tcBorders>
            <w:shd w:fill="FFFFFF" w:val="clear"/>
            <w:tcMar>
              <w:bottom w:w="28" w:type="dxa"/>
            </w:tcMar>
            <w:vAlign w:val="center"/>
          </w:tcPr>
          <w:p>
            <w:pPr>
              <w:pStyle w:val="TableContents"/>
              <w:bidi w:val="0"/>
              <w:spacing w:before="0" w:after="283"/>
              <w:jc w:val="right"/>
              <w:rPr/>
            </w:pPr>
            <w:r>
              <w:rPr/>
              <w:t>416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b/>
              </w:rPr>
            </w:pPr>
            <w:r>
              <w:rPr>
                <w:b/>
              </w:rPr>
              <w:t>Total non-subscription revenue</w:t>
            </w:r>
          </w:p>
        </w:tc>
        <w:tc>
          <w:tcPr>
            <w:tcW w:w="60" w:type="dxa"/>
            <w:tcBorders/>
            <w:shd w:fill="CCEEFF" w:val="clear"/>
            <w:vAlign w:val="center"/>
          </w:tcPr>
          <w:p>
            <w:pPr>
              <w:pStyle w:val="TableContents"/>
              <w:bidi w:val="0"/>
              <w:spacing w:before="0" w:after="283"/>
              <w:jc w:val="left"/>
              <w:rPr/>
            </w:pPr>
            <w:r>
              <w:rPr/>
              <w:t> </w:t>
            </w:r>
          </w:p>
        </w:tc>
        <w:tc>
          <w:tcPr>
            <w:tcW w:w="4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13" w:name="xdx_985_eus-gaap--Revenues_c20240101__20"/>
            <w:bookmarkEnd w:id="413"/>
          </w:p>
        </w:tc>
        <w:tc>
          <w:tcPr>
            <w:tcW w:w="176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14" w:name="xdx_982_eus-gaap--Revenues_c20230315__20"/>
            <w:bookmarkEnd w:id="414"/>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102</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15" w:name="xdx_98D_eus-gaap--Revenues_c20230101__20"/>
            <w:bookmarkEnd w:id="415"/>
          </w:p>
        </w:tc>
        <w:tc>
          <w:tcPr>
            <w:tcW w:w="132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4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16" w:name="xdx_98F_eus-gaap--Revenues_c20240101__20"/>
            <w:bookmarkEnd w:id="416"/>
          </w:p>
        </w:tc>
        <w:tc>
          <w:tcPr>
            <w:tcW w:w="176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17" w:name="xdx_988_eus-gaap--Revenues_c20230315__20"/>
            <w:bookmarkEnd w:id="417"/>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342</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18" w:name="xdx_987_eus-gaap--Revenues_c20230101__20"/>
            <w:bookmarkEnd w:id="418"/>
          </w:p>
        </w:tc>
        <w:tc>
          <w:tcPr>
            <w:tcW w:w="132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1,620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214" w:type="dxa"/>
        <w:jc w:val="left"/>
        <w:tblInd w:w="0" w:type="dxa"/>
        <w:tblLayout w:type="fixed"/>
        <w:tblCellMar>
          <w:top w:w="0" w:type="dxa"/>
          <w:left w:w="0" w:type="dxa"/>
          <w:bottom w:w="0" w:type="dxa"/>
          <w:right w:w="0" w:type="dxa"/>
        </w:tblCellMar>
      </w:tblPr>
      <w:tblGrid>
        <w:gridCol w:w="3425"/>
        <w:gridCol w:w="60"/>
        <w:gridCol w:w="430"/>
        <w:gridCol w:w="1720"/>
        <w:gridCol w:w="60"/>
        <w:gridCol w:w="60"/>
        <w:gridCol w:w="433"/>
        <w:gridCol w:w="1176"/>
        <w:gridCol w:w="60"/>
        <w:gridCol w:w="60"/>
        <w:gridCol w:w="331"/>
        <w:gridCol w:w="1324"/>
        <w:gridCol w:w="75"/>
      </w:tblGrid>
      <w:tr>
        <w:trPr/>
        <w:tc>
          <w:tcPr>
            <w:tcW w:w="34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87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r>
          </w:p>
        </w:tc>
        <w:tc>
          <w:tcPr>
            <w:tcW w:w="75" w:type="dxa"/>
            <w:tcBorders/>
            <w:vAlign w:val="center"/>
          </w:tcPr>
          <w:p>
            <w:pPr>
              <w:pStyle w:val="TableContents"/>
              <w:bidi w:val="0"/>
              <w:spacing w:before="0" w:after="283"/>
              <w:ind w:left="0" w:right="0" w:hanging="180"/>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March 15, 2023</w:t>
              <w:br/>
              <w:t>to</w:t>
              <w:br/>
              <w:t>March 31,</w:t>
              <w:br/>
              <w:t>2023</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January 1, 2023</w:t>
              <w:br/>
              <w:t>to</w:t>
              <w:br/>
              <w:t>March 14,</w:t>
              <w:br/>
              <w:t>2023</w:t>
            </w:r>
          </w:p>
        </w:tc>
        <w:tc>
          <w:tcPr>
            <w:tcW w:w="75" w:type="dxa"/>
            <w:tcBorders/>
            <w:vAlign w:val="center"/>
          </w:tcPr>
          <w:p>
            <w:pPr>
              <w:pStyle w:val="TableContents"/>
              <w:bidi w:val="0"/>
              <w:spacing w:before="0" w:after="283"/>
              <w:ind w:left="0" w:right="0" w:hanging="180"/>
              <w:jc w:val="left"/>
              <w:rPr/>
            </w:pPr>
            <w:r>
              <w:rPr/>
              <w:t> </w:t>
            </w:r>
          </w:p>
        </w:tc>
      </w:tr>
      <w:tr>
        <w:trPr/>
        <w:tc>
          <w:tcPr>
            <w:tcW w:w="3425" w:type="dxa"/>
            <w:tcBorders/>
            <w:shd w:fill="CCEEFF" w:val="clear"/>
            <w:vAlign w:val="center"/>
          </w:tcPr>
          <w:p>
            <w:pPr>
              <w:pStyle w:val="TableContents"/>
              <w:bidi w:val="0"/>
              <w:spacing w:before="0" w:after="283"/>
              <w:jc w:val="left"/>
              <w:rPr/>
            </w:pPr>
            <w:r>
              <w:rPr/>
              <w:t>Revenue recognized over time</w:t>
            </w:r>
            <w:r>
              <w:rPr>
                <w:position w:val="8"/>
                <w:sz w:val="19"/>
              </w:rPr>
              <w:t>(1)(2)</w:t>
            </w: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419" w:name="xdx_986_eus-gaap--Revenues_pn3n3_c202401"/>
            <w:bookmarkEnd w:id="419"/>
          </w:p>
        </w:tc>
        <w:tc>
          <w:tcPr>
            <w:tcW w:w="1720" w:type="dxa"/>
            <w:tcBorders>
              <w:bottom w:val="single" w:sz="8" w:space="0" w:color="000000"/>
            </w:tcBorders>
            <w:shd w:fill="CCEEFF" w:val="clear"/>
            <w:tcMar>
              <w:bottom w:w="28" w:type="dxa"/>
            </w:tcMar>
            <w:vAlign w:val="center"/>
          </w:tcPr>
          <w:p>
            <w:pPr>
              <w:pStyle w:val="TableContents"/>
              <w:bidi w:val="0"/>
              <w:spacing w:before="0" w:after="283"/>
              <w:jc w:val="right"/>
              <w:rPr/>
            </w:pPr>
            <w:r>
              <w:rPr/>
              <w:t>1,818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420" w:name="xdx_980_eus-gaap--Revenues_pn3n3_c202303"/>
            <w:bookmarkEnd w:id="420"/>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342</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421" w:name="xdx_98A_eus-gaap--Revenues_pn3n3_c202301"/>
            <w:bookmarkEnd w:id="421"/>
          </w:p>
        </w:tc>
        <w:tc>
          <w:tcPr>
            <w:tcW w:w="1324" w:type="dxa"/>
            <w:tcBorders>
              <w:bottom w:val="single" w:sz="8" w:space="0" w:color="000000"/>
            </w:tcBorders>
            <w:shd w:fill="CCEEFF" w:val="clear"/>
            <w:tcMar>
              <w:bottom w:w="28" w:type="dxa"/>
            </w:tcMar>
            <w:vAlign w:val="center"/>
          </w:tcPr>
          <w:p>
            <w:pPr>
              <w:pStyle w:val="TableContents"/>
              <w:bidi w:val="0"/>
              <w:spacing w:before="0" w:after="283"/>
              <w:jc w:val="right"/>
              <w:rPr/>
            </w:pPr>
            <w:r>
              <w:rPr/>
              <w:t>1,620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42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422" w:name="xdx_989_eus-gaap--Revenues_pn3n3_c202401"/>
            <w:bookmarkEnd w:id="422"/>
          </w:p>
        </w:tc>
        <w:tc>
          <w:tcPr>
            <w:tcW w:w="17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423" w:name="xdx_98B_eus-gaap--Revenues_pn3n3_c202303"/>
            <w:bookmarkEnd w:id="423"/>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342</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424" w:name="xdx_98F_eus-gaap--Revenues_pn3n3_c202301"/>
            <w:bookmarkEnd w:id="424"/>
          </w:p>
        </w:tc>
        <w:tc>
          <w:tcPr>
            <w:tcW w:w="132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1,620</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bookmarkStart w:id="425" w:name="xdx_F02_z34VFiS3eGo2"/>
            <w:bookmarkStart w:id="426" w:name="xdx_F02_z34VFiS3eGo2"/>
            <w:bookmarkEnd w:id="426"/>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bookmarkStart w:id="427" w:name="xdx_F13_zvUFxmTl98ef"/>
            <w:bookmarkEnd w:id="427"/>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are also contracted on the fixed fee and time and materials basis. Fixed fees are paid monthly, in phases, or upon acceptance of deliverables. The Company has generally elected the practical expedient to recognize revenue for the right to invoice because the Company’s right to consideration corresponds directly with the value to the customer of the performance completed to date.</w:t>
            </w:r>
          </w:p>
        </w:tc>
      </w:tr>
      <w:tr>
        <w:trPr/>
        <w:tc>
          <w:tcPr>
            <w:tcW w:w="23" w:type="dxa"/>
            <w:tcBorders/>
            <w:vAlign w:val="center"/>
          </w:tcPr>
          <w:p>
            <w:pPr>
              <w:pStyle w:val="TableContents"/>
              <w:bidi w:val="0"/>
              <w:spacing w:before="0" w:after="283"/>
              <w:jc w:val="left"/>
              <w:rPr>
                <w:sz w:val="4"/>
                <w:szCs w:val="4"/>
              </w:rPr>
            </w:pPr>
            <w:r>
              <w:rPr>
                <w:sz w:val="4"/>
                <w:szCs w:val="4"/>
              </w:rPr>
            </w:r>
            <w:bookmarkStart w:id="428" w:name="xdx_F0C_z9z3Ifk490oi"/>
            <w:bookmarkStart w:id="429" w:name="xdx_F0C_z9z3Ifk490oi"/>
            <w:bookmarkEnd w:id="429"/>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bookmarkStart w:id="430" w:name="xdx_F13_zCHxN8xu0FK3"/>
            <w:bookmarkEnd w:id="430"/>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As A Service Subscription Revenue’s performance obligation is satisfied evenly over the service period using a time-based measure because the Company is providing continuous access to its service and service is recognized over time.</w:t>
            </w:r>
          </w:p>
        </w:tc>
      </w:tr>
    </w:tbl>
    <w:p>
      <w:pPr>
        <w:pStyle w:val="TextBody"/>
        <w:bidi w:val="0"/>
        <w:jc w:val="left"/>
        <w:rPr>
          <w:caps w:val="false"/>
          <w:smallCaps w:val="false"/>
        </w:rPr>
      </w:pPr>
      <w:bookmarkStart w:id="431" w:name="xdx_8A9_zEIn5bruawwi"/>
      <w:bookmarkEnd w:id="431"/>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jc w:val="left"/>
        <w:rPr>
          <w:caps w:val="false"/>
          <w:smallCaps w:val="false"/>
        </w:rPr>
      </w:pPr>
      <w:bookmarkStart w:id="432" w:name="xdx_238_zzIJKqMvI1b8"/>
      <w:bookmarkEnd w:id="432"/>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33" w:name="xdx_234_zq0L10zYFad3"/>
      <w:bookmarkEnd w:id="433"/>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34" w:name="xdx_807_eus-gaap--PropertyPlantAndEquipm"/>
      <w:bookmarkEnd w:id="434"/>
      <w:r>
        <w:rPr>
          <w:rFonts w:ascii="Times New Roman;Times;Serif" w:hAnsi="Times New Roman;Times;Serif"/>
          <w:b/>
          <w:i w:val="false"/>
          <w:caps w:val="false"/>
          <w:smallCaps w:val="false"/>
          <w:sz w:val="20"/>
        </w:rPr>
        <w:t xml:space="preserve">NOTE 5 – </w:t>
      </w:r>
      <w:bookmarkStart w:id="435" w:name="xdx_82B_z93wwGht6bJl"/>
      <w:bookmarkEnd w:id="435"/>
      <w:r>
        <w:rPr>
          <w:rFonts w:ascii="Times New Roman;Times;Serif" w:hAnsi="Times New Roman;Times;Serif"/>
          <w:b/>
          <w:i w:val="false"/>
          <w:caps w:val="false"/>
          <w:smallCaps w:val="false"/>
          <w:sz w:val="20"/>
        </w:rPr>
        <w:t>Property and Equipment,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36" w:name="xdx_888_eus-gaap--PropertyPlantAndEquipm"/>
      <w:bookmarkStart w:id="437" w:name="xdx_888_eus-gaap--PropertyPlantAndEquipm"/>
      <w:bookmarkEnd w:id="437"/>
    </w:p>
    <w:tbl>
      <w:tblPr>
        <w:tblW w:w="7435" w:type="dxa"/>
        <w:jc w:val="left"/>
        <w:tblInd w:w="0" w:type="dxa"/>
        <w:tblLayout w:type="fixed"/>
        <w:tblCellMar>
          <w:top w:w="0" w:type="dxa"/>
          <w:left w:w="0" w:type="dxa"/>
          <w:bottom w:w="0" w:type="dxa"/>
          <w:right w:w="0" w:type="dxa"/>
        </w:tblCellMar>
      </w:tblPr>
      <w:tblGrid>
        <w:gridCol w:w="4625"/>
        <w:gridCol w:w="60"/>
        <w:gridCol w:w="288"/>
        <w:gridCol w:w="782"/>
        <w:gridCol w:w="95"/>
        <w:gridCol w:w="60"/>
        <w:gridCol w:w="380"/>
        <w:gridCol w:w="1035"/>
        <w:gridCol w:w="110"/>
      </w:tblGrid>
      <w:tr>
        <w:trPr/>
        <w:tc>
          <w:tcPr>
            <w:tcW w:w="4625" w:type="dxa"/>
            <w:tcBorders/>
            <w:shd w:fill="FFFFFF" w:val="clear"/>
            <w:vAlign w:val="center"/>
          </w:tcPr>
          <w:p>
            <w:pPr>
              <w:pStyle w:val="TableContents"/>
              <w:bidi w:val="0"/>
              <w:spacing w:before="0" w:after="283"/>
              <w:ind w:left="0" w:right="0" w:hanging="180"/>
              <w:jc w:val="left"/>
              <w:rPr/>
            </w:pPr>
            <w:bookmarkStart w:id="438" w:name="xdx_8BA_z7zpzuYWmOR3"/>
            <w:bookmarkEnd w:id="438"/>
            <w:r>
              <w:rPr/>
              <w:t>Schedule of property and equipment</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2023</w:t>
            </w:r>
          </w:p>
        </w:tc>
        <w:tc>
          <w:tcPr>
            <w:tcW w:w="110" w:type="dxa"/>
            <w:tcBorders/>
            <w:vAlign w:val="center"/>
          </w:tcPr>
          <w:p>
            <w:pPr>
              <w:pStyle w:val="TableContents"/>
              <w:bidi w:val="0"/>
              <w:spacing w:before="0" w:after="283"/>
              <w:ind w:left="0" w:right="0" w:hanging="180"/>
              <w:jc w:val="left"/>
              <w:rPr/>
            </w:pPr>
            <w:r>
              <w:rPr/>
              <w:t> </w:t>
            </w:r>
          </w:p>
        </w:tc>
      </w:tr>
      <w:tr>
        <w:trPr/>
        <w:tc>
          <w:tcPr>
            <w:tcW w:w="4625" w:type="dxa"/>
            <w:tcBorders/>
            <w:shd w:fill="CCEEFF" w:val="clear"/>
            <w:vAlign w:val="center"/>
          </w:tcPr>
          <w:p>
            <w:pPr>
              <w:pStyle w:val="TableContents"/>
              <w:bidi w:val="0"/>
              <w:spacing w:before="0" w:after="283"/>
              <w:jc w:val="left"/>
              <w:rPr/>
            </w:pPr>
            <w:r>
              <w:rPr/>
              <w:t>Computer and office equipment</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bookmarkStart w:id="439" w:name="xdx_98B_eus-gaap--PropertyPlantAndEquipm"/>
            <w:bookmarkEnd w:id="439"/>
          </w:p>
        </w:tc>
        <w:tc>
          <w:tcPr>
            <w:tcW w:w="782" w:type="dxa"/>
            <w:tcBorders/>
            <w:shd w:fill="CCEEFF" w:val="clear"/>
            <w:vAlign w:val="center"/>
          </w:tcPr>
          <w:p>
            <w:pPr>
              <w:pStyle w:val="TableContents"/>
              <w:bidi w:val="0"/>
              <w:spacing w:before="0" w:after="283"/>
              <w:jc w:val="right"/>
              <w:rPr/>
            </w:pPr>
            <w:r>
              <w:rPr/>
              <w:t>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bookmarkStart w:id="440" w:name="xdx_988_eus-gaap--PropertyPlantAndEquipm"/>
            <w:bookmarkEnd w:id="440"/>
          </w:p>
        </w:tc>
        <w:tc>
          <w:tcPr>
            <w:tcW w:w="1035" w:type="dxa"/>
            <w:tcBorders/>
            <w:shd w:fill="CCEEFF" w:val="clear"/>
            <w:vAlign w:val="center"/>
          </w:tcPr>
          <w:p>
            <w:pPr>
              <w:pStyle w:val="TableContents"/>
              <w:bidi w:val="0"/>
              <w:spacing w:before="0" w:after="283"/>
              <w:jc w:val="right"/>
              <w:rPr/>
            </w:pPr>
            <w:r>
              <w:rPr/>
              <w:t>179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2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bookmarkStart w:id="441" w:name="xdx_987_eus-gaap--PropertyPlantAndEquipm"/>
            <w:bookmarkEnd w:id="441"/>
          </w:p>
        </w:tc>
        <w:tc>
          <w:tcPr>
            <w:tcW w:w="782"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bookmarkStart w:id="442" w:name="xdx_986_eus-gaap--PropertyPlantAndEquipm"/>
            <w:bookmarkEnd w:id="442"/>
          </w:p>
        </w:tc>
        <w:tc>
          <w:tcPr>
            <w:tcW w:w="1035"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2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bookmarkStart w:id="443" w:name="xdx_98E_eus-gaap--PropertyPlantAndEquipm"/>
            <w:bookmarkEnd w:id="443"/>
          </w:p>
        </w:tc>
        <w:tc>
          <w:tcPr>
            <w:tcW w:w="782"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bookmarkStart w:id="444" w:name="xdx_982_eus-gaap--PropertyPlantAndEquipm"/>
            <w:bookmarkEnd w:id="444"/>
          </w:p>
        </w:tc>
        <w:tc>
          <w:tcPr>
            <w:tcW w:w="1035"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25" w:type="dxa"/>
            <w:tcBorders/>
            <w:shd w:fill="FFFFFF" w:val="clear"/>
            <w:vAlign w:val="center"/>
          </w:tcPr>
          <w:p>
            <w:pPr>
              <w:pStyle w:val="TableContents"/>
              <w:bidi w:val="0"/>
              <w:spacing w:before="0" w:after="283"/>
              <w:jc w:val="left"/>
              <w:rPr/>
            </w:pPr>
            <w:r>
              <w:rPr/>
              <w:t>Software</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5" w:name="xdx_983_eus-gaap--PropertyPlantAndEquipm"/>
            <w:bookmarkEnd w:id="445"/>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6" w:name="xdx_980_eus-gaap--PropertyPlantAndEquipm"/>
            <w:bookmarkEnd w:id="446"/>
          </w:p>
        </w:tc>
        <w:tc>
          <w:tcPr>
            <w:tcW w:w="1035"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bookmarkStart w:id="447" w:name="xdx_984_eus-gaap--PropertyPlantAndEquipm"/>
            <w:bookmarkEnd w:id="447"/>
          </w:p>
        </w:tc>
        <w:tc>
          <w:tcPr>
            <w:tcW w:w="782" w:type="dxa"/>
            <w:tcBorders/>
            <w:shd w:fill="CCEEFF" w:val="cle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bookmarkStart w:id="448" w:name="xdx_98C_eus-gaap--PropertyPlantAndEquipm"/>
            <w:bookmarkEnd w:id="448"/>
          </w:p>
        </w:tc>
        <w:tc>
          <w:tcPr>
            <w:tcW w:w="1035" w:type="dxa"/>
            <w:tcBorders/>
            <w:shd w:fill="CCEEFF" w:val="clear"/>
            <w:vAlign w:val="center"/>
          </w:tcPr>
          <w:p>
            <w:pPr>
              <w:pStyle w:val="TableContents"/>
              <w:bidi w:val="0"/>
              <w:spacing w:before="0" w:after="283"/>
              <w:jc w:val="right"/>
              <w:rPr/>
            </w:pPr>
            <w:r>
              <w:rPr/>
              <w:t>198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25"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9" w:name="xdx_985_eus-gaap--AccumulatedDepreciatio"/>
            <w:bookmarkEnd w:id="449"/>
          </w:p>
        </w:tc>
        <w:tc>
          <w:tcPr>
            <w:tcW w:w="782" w:type="dxa"/>
            <w:tcBorders>
              <w:bottom w:val="single" w:sz="8" w:space="0" w:color="000000"/>
            </w:tcBorders>
            <w:shd w:fill="FFFFFF" w:val="clear"/>
            <w:tcMar>
              <w:bottom w:w="28" w:type="dxa"/>
            </w:tcMar>
            <w:vAlign w:val="center"/>
          </w:tcPr>
          <w:p>
            <w:pPr>
              <w:pStyle w:val="TableContents"/>
              <w:bidi w:val="0"/>
              <w:spacing w:before="0" w:after="283"/>
              <w:jc w:val="right"/>
              <w:rPr/>
            </w:pPr>
            <w:r>
              <w:rPr/>
              <w:t>(96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50" w:name="xdx_988_eus-gaap--AccumulatedDepreciatio"/>
            <w:bookmarkEnd w:id="450"/>
          </w:p>
        </w:tc>
        <w:tc>
          <w:tcPr>
            <w:tcW w:w="1035" w:type="dxa"/>
            <w:tcBorders>
              <w:bottom w:val="single" w:sz="8" w:space="0" w:color="000000"/>
            </w:tcBorders>
            <w:shd w:fill="FFFFFF" w:val="clear"/>
            <w:tcMar>
              <w:bottom w:w="28" w:type="dxa"/>
            </w:tcMar>
            <w:vAlign w:val="center"/>
          </w:tcPr>
          <w:p>
            <w:pPr>
              <w:pStyle w:val="TableContents"/>
              <w:bidi w:val="0"/>
              <w:spacing w:before="0" w:after="283"/>
              <w:jc w:val="right"/>
              <w:rPr/>
            </w:pPr>
            <w:r>
              <w:rPr/>
              <w:t>(83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25" w:type="dxa"/>
            <w:tcBorders/>
            <w:shd w:fill="CCEEFF" w:val="clear"/>
            <w:vAlign w:val="center"/>
          </w:tcPr>
          <w:p>
            <w:pPr>
              <w:pStyle w:val="TableContents"/>
              <w:bidi w:val="0"/>
              <w:spacing w:before="0" w:after="283"/>
              <w:jc w:val="left"/>
              <w:rPr>
                <w:b/>
              </w:rPr>
            </w:pPr>
            <w:r>
              <w:rPr>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51" w:name="xdx_98F_eus-gaap--PropertyPlantAndEquipm"/>
            <w:bookmarkEnd w:id="451"/>
          </w:p>
        </w:tc>
        <w:tc>
          <w:tcPr>
            <w:tcW w:w="782" w:type="dxa"/>
            <w:tcBorders>
              <w:bottom w:val="double" w:sz="6" w:space="0" w:color="000000"/>
            </w:tcBorders>
            <w:shd w:fill="CCEEFF" w:val="clear"/>
            <w:tcMar>
              <w:bottom w:w="28" w:type="dxa"/>
            </w:tcM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52" w:name="xdx_98B_eus-gaap--PropertyPlantAndEquipm"/>
            <w:bookmarkEnd w:id="452"/>
          </w:p>
        </w:tc>
        <w:tc>
          <w:tcPr>
            <w:tcW w:w="1035" w:type="dxa"/>
            <w:tcBorders>
              <w:bottom w:val="double" w:sz="6" w:space="0" w:color="000000"/>
            </w:tcBorders>
            <w:shd w:fill="CCEEFF" w:val="clear"/>
            <w:tcMar>
              <w:bottom w:w="28" w:type="dxa"/>
            </w:tcMar>
            <w:vAlign w:val="center"/>
          </w:tcPr>
          <w:p>
            <w:pPr>
              <w:pStyle w:val="TableContents"/>
              <w:bidi w:val="0"/>
              <w:spacing w:before="0" w:after="283"/>
              <w:jc w:val="right"/>
              <w:rPr/>
            </w:pPr>
            <w:r>
              <w:rPr/>
              <w:t>115</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were approximately $</w:t>
      </w:r>
      <w:bookmarkStart w:id="453" w:name="xdx_90B_eus-gaap--DepreciationAndAmortiz"/>
      <w:bookmarkEnd w:id="453"/>
      <w:r>
        <w:rPr>
          <w:rFonts w:ascii="Times New Roman;Times;Serif" w:hAnsi="Times New Roman;Times;Serif"/>
          <w:b w:val="false"/>
          <w:i w:val="false"/>
          <w:caps w:val="false"/>
          <w:smallCaps w:val="false"/>
          <w:sz w:val="20"/>
        </w:rPr>
        <w:t>22 thousand, $</w:t>
      </w:r>
      <w:bookmarkStart w:id="454" w:name="xdx_901_eus-gaap--DepreciationAndAmortiz"/>
      <w:bookmarkEnd w:id="454"/>
      <w:r>
        <w:rPr>
          <w:rFonts w:ascii="Times New Roman;Times;Serif" w:hAnsi="Times New Roman;Times;Serif"/>
          <w:b w:val="false"/>
          <w:i w:val="false"/>
          <w:caps w:val="false"/>
          <w:smallCaps w:val="false"/>
          <w:sz w:val="20"/>
        </w:rPr>
        <w:t>4 thousand, and $</w:t>
      </w:r>
      <w:bookmarkStart w:id="455" w:name="xdx_90B_eus-gaap--DepreciationAndAmortiz"/>
      <w:bookmarkEnd w:id="455"/>
      <w:r>
        <w:rPr>
          <w:rFonts w:ascii="Times New Roman;Times;Serif" w:hAnsi="Times New Roman;Times;Serif"/>
          <w:b w:val="false"/>
          <w:i w:val="false"/>
          <w:caps w:val="false"/>
          <w:smallCaps w:val="false"/>
          <w:sz w:val="20"/>
        </w:rPr>
        <w:t>19 thousand, for the three months ended March 31, 2024 (Successor), for the period from March 15, 2023 to March 31, 2023 (Successor), and for the period from January 1, 2023 to March 14, 2023 (Predecessor),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56" w:name="xdx_801_ecustom--SoftwareDevelopmentCost"/>
      <w:bookmarkEnd w:id="456"/>
      <w:r>
        <w:rPr>
          <w:rFonts w:ascii="Times New Roman;Times;Serif" w:hAnsi="Times New Roman;Times;Serif"/>
          <w:b/>
          <w:i w:val="false"/>
          <w:caps w:val="false"/>
          <w:smallCaps w:val="false"/>
          <w:sz w:val="20"/>
        </w:rPr>
        <w:t xml:space="preserve">NOTE 6 – </w:t>
      </w:r>
      <w:bookmarkStart w:id="457" w:name="xdx_82C_zJz54gYoWf8d"/>
      <w:bookmarkEnd w:id="457"/>
      <w:r>
        <w:rPr>
          <w:rFonts w:ascii="Times New Roman;Times;Serif" w:hAnsi="Times New Roman;Times;Serif"/>
          <w:b/>
          <w:i w:val="false"/>
          <w:caps w:val="false"/>
          <w:smallCaps w:val="false"/>
          <w:sz w:val="20"/>
        </w:rPr>
        <w:t>Software Development Costs,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for capitalized software development costs was approximately $</w:t>
      </w:r>
      <w:bookmarkStart w:id="458" w:name="xdx_90D_eus-gaap--AdjustmentForAmortizat"/>
      <w:bookmarkEnd w:id="458"/>
      <w:r>
        <w:rPr>
          <w:rFonts w:ascii="Times New Roman;Times;Serif" w:hAnsi="Times New Roman;Times;Serif"/>
          <w:b w:val="false"/>
          <w:i w:val="false"/>
          <w:caps w:val="false"/>
          <w:smallCaps w:val="false"/>
          <w:sz w:val="20"/>
        </w:rPr>
        <w:t xml:space="preserve">209 thousand for the period from January 1, 2023 to March 14, 2023 (Predecessor). There was </w:t>
      </w:r>
      <w:bookmarkStart w:id="459" w:name="xdx_904_eus-gaap--AdjustmentForAmortizat"/>
      <w:bookmarkStart w:id="460" w:name="xdx_90E_eus-gaap--AdjustmentForAmortizat"/>
      <w:bookmarkEnd w:id="459"/>
      <w:bookmarkEnd w:id="460"/>
      <w:r>
        <w:rPr>
          <w:rFonts w:ascii="Times New Roman;Times;Serif" w:hAnsi="Times New Roman;Times;Serif"/>
          <w:b w:val="false"/>
          <w:i w:val="false"/>
          <w:caps w:val="false"/>
          <w:smallCaps w:val="false"/>
          <w:sz w:val="20"/>
        </w:rPr>
        <w:t>no amortization expense for capitalized software development costs for the three months ended March 31, 2024 (Successor) and for the period from March 15, 2023 to March 31, 2023 (Successor).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61" w:name="xdx_80B_eus-gaap--GoodwillAndIntangibleA"/>
      <w:bookmarkEnd w:id="461"/>
      <w:r>
        <w:rPr>
          <w:rFonts w:ascii="Times New Roman;Times;Serif" w:hAnsi="Times New Roman;Times;Serif"/>
          <w:b/>
          <w:i w:val="false"/>
          <w:caps w:val="false"/>
          <w:smallCaps w:val="false"/>
          <w:sz w:val="20"/>
        </w:rPr>
        <w:t xml:space="preserve">NOTE 7 – </w:t>
      </w:r>
      <w:bookmarkStart w:id="462" w:name="xdx_82E_zIHIBifVbtL2"/>
      <w:bookmarkEnd w:id="462"/>
      <w:r>
        <w:rPr>
          <w:rFonts w:ascii="Times New Roman;Times;Serif" w:hAnsi="Times New Roman;Times;Serif"/>
          <w:b/>
          <w:i w:val="false"/>
          <w:caps w:val="false"/>
          <w:smallCaps w:val="false"/>
          <w:sz w:val="20"/>
        </w:rPr>
        <w:t>Goodwill and Intangible Assets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goodwill and intangible assets for impairment on a reporting unit basis on December 31 of each year and whenever events or changes in circumstances indicate the carrying value of goodwill may not be recoverable. The Company noted that the carrying amount of Goodwill as of March 31, 2024 (Successor) was $</w:t>
      </w:r>
      <w:bookmarkStart w:id="463" w:name="xdx_906_eus-gaap--Goodwill_c20240331__sr"/>
      <w:bookmarkEnd w:id="463"/>
      <w:r>
        <w:rPr>
          <w:rFonts w:ascii="Times New Roman;Times;Serif" w:hAnsi="Times New Roman;Times;Serif"/>
          <w:b w:val="false"/>
          <w:i w:val="false"/>
          <w:caps w:val="false"/>
          <w:smallCaps w:val="false"/>
          <w:sz w:val="20"/>
        </w:rPr>
        <w:t>8,737 thousand, which was entirely due to the business combination noted in Note 3.</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be considered a change in circumstances indicating that the carrying value of our goodwill or amortizable intangible assets may not be recoverable include a decline in industry and market considerations, technological advancements, and the Company’s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completed our annual goodwill impairment evaluation as of December 31, 2023. As a result, the Company incurred an impairment loss of $</w:t>
      </w:r>
      <w:bookmarkStart w:id="464" w:name="xdx_90D_eus-gaap--GoodwillImpairmentLoss"/>
      <w:bookmarkEnd w:id="464"/>
      <w:r>
        <w:rPr>
          <w:rFonts w:ascii="Times New Roman;Times;Serif" w:hAnsi="Times New Roman;Times;Serif"/>
          <w:b w:val="false"/>
          <w:i w:val="false"/>
          <w:caps w:val="false"/>
          <w:smallCaps w:val="false"/>
          <w:sz w:val="20"/>
        </w:rPr>
        <w:t>36,056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noted that there were no qualitative or quantitative indicators of impairment present at the reporting date as of March 31, 2024 (Successor).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consisted of the following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65" w:name="xdx_883_eus-gaap--ScheduleOfFiniteLivedI"/>
      <w:bookmarkStart w:id="466" w:name="xdx_883_eus-gaap--ScheduleOfFiniteLivedI"/>
      <w:bookmarkEnd w:id="466"/>
    </w:p>
    <w:tbl>
      <w:tblPr>
        <w:tblW w:w="10205" w:type="dxa"/>
        <w:jc w:val="left"/>
        <w:tblInd w:w="0" w:type="dxa"/>
        <w:tblLayout w:type="fixed"/>
        <w:tblCellMar>
          <w:top w:w="0" w:type="dxa"/>
          <w:left w:w="0" w:type="dxa"/>
          <w:bottom w:w="0" w:type="dxa"/>
          <w:right w:w="0" w:type="dxa"/>
        </w:tblCellMar>
      </w:tblPr>
      <w:tblGrid>
        <w:gridCol w:w="1508"/>
        <w:gridCol w:w="60"/>
        <w:gridCol w:w="1130"/>
        <w:gridCol w:w="60"/>
        <w:gridCol w:w="60"/>
        <w:gridCol w:w="146"/>
        <w:gridCol w:w="714"/>
        <w:gridCol w:w="60"/>
        <w:gridCol w:w="60"/>
        <w:gridCol w:w="275"/>
        <w:gridCol w:w="1252"/>
        <w:gridCol w:w="95"/>
        <w:gridCol w:w="60"/>
        <w:gridCol w:w="171"/>
        <w:gridCol w:w="839"/>
        <w:gridCol w:w="60"/>
        <w:gridCol w:w="60"/>
        <w:gridCol w:w="146"/>
        <w:gridCol w:w="714"/>
        <w:gridCol w:w="60"/>
        <w:gridCol w:w="60"/>
        <w:gridCol w:w="247"/>
        <w:gridCol w:w="1123"/>
        <w:gridCol w:w="95"/>
        <w:gridCol w:w="60"/>
        <w:gridCol w:w="171"/>
        <w:gridCol w:w="839"/>
        <w:gridCol w:w="80"/>
      </w:tblGrid>
      <w:tr>
        <w:trPr/>
        <w:tc>
          <w:tcPr>
            <w:tcW w:w="1508" w:type="dxa"/>
            <w:tcBorders/>
            <w:shd w:fill="FFFFFF" w:val="clear"/>
            <w:vAlign w:val="center"/>
          </w:tcPr>
          <w:p>
            <w:pPr>
              <w:pStyle w:val="TableContents"/>
              <w:bidi w:val="0"/>
              <w:spacing w:before="0" w:after="283"/>
              <w:ind w:left="0" w:right="0" w:hanging="180"/>
              <w:jc w:val="left"/>
              <w:rPr/>
            </w:pPr>
            <w:bookmarkStart w:id="467" w:name="xdx_8BA_z2CP5tP20ni"/>
            <w:bookmarkEnd w:id="467"/>
            <w:r>
              <w:rPr/>
              <w:t>Schedule of intangible assets</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5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22" w:type="dxa"/>
            <w:gridSpan w:val="13"/>
            <w:tcBorders>
              <w:bottom w:val="single" w:sz="8" w:space="0" w:color="000000"/>
            </w:tcBorders>
            <w:tcMar>
              <w:bottom w:w="28" w:type="dxa"/>
            </w:tcMar>
            <w:vAlign w:val="center"/>
          </w:tcPr>
          <w:p>
            <w:pPr>
              <w:pStyle w:val="TableContents"/>
              <w:bidi w:val="0"/>
              <w:spacing w:before="0" w:after="283"/>
              <w:jc w:val="center"/>
              <w:rPr>
                <w:b/>
              </w:rPr>
            </w:pPr>
            <w:r>
              <w:rPr>
                <w:b/>
              </w:rPr>
              <w:t>March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80" w:type="dxa"/>
            <w:tcBorders/>
            <w:vAlign w:val="center"/>
          </w:tcPr>
          <w:p>
            <w:pPr>
              <w:pStyle w:val="TableContents"/>
              <w:bidi w:val="0"/>
              <w:spacing w:before="0" w:after="283"/>
              <w:ind w:left="0" w:right="0" w:hanging="180"/>
              <w:jc w:val="left"/>
              <w:rPr/>
            </w:pPr>
            <w:r>
              <w:rPr/>
              <w:t> </w:t>
            </w:r>
          </w:p>
        </w:tc>
      </w:tr>
      <w:tr>
        <w:trPr/>
        <w:tc>
          <w:tcPr>
            <w:tcW w:w="15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jc w:val="center"/>
              <w:rPr>
                <w:b/>
              </w:rPr>
            </w:pPr>
            <w:r>
              <w:rPr>
                <w:b/>
              </w:rPr>
              <w:t>Weighted</w:t>
              <w:br/>
              <w:t>Average</w:t>
            </w:r>
          </w:p>
          <w:p>
            <w:pPr>
              <w:pStyle w:val="TableContents"/>
              <w:bidi w:val="0"/>
              <w:spacing w:before="0" w:after="283"/>
              <w:jc w:val="center"/>
              <w:rPr>
                <w:b/>
              </w:rPr>
            </w:pPr>
            <w:r>
              <w:rPr>
                <w:b/>
              </w:rPr>
              <w:t>Remaining</w:t>
              <w:br/>
              <w:t>Useful Life</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Carrying</w:t>
              <w:br/>
              <w:t>Amount</w:t>
            </w:r>
          </w:p>
        </w:tc>
        <w:tc>
          <w:tcPr>
            <w:tcW w:w="80" w:type="dxa"/>
            <w:tcBorders/>
            <w:vAlign w:val="center"/>
          </w:tcPr>
          <w:p>
            <w:pPr>
              <w:pStyle w:val="TableContents"/>
              <w:bidi w:val="0"/>
              <w:spacing w:before="0" w:after="283"/>
              <w:ind w:left="0" w:right="0" w:hanging="180"/>
              <w:jc w:val="left"/>
              <w:rPr/>
            </w:pPr>
            <w:r>
              <w:rPr/>
              <w:t> </w:t>
            </w:r>
          </w:p>
        </w:tc>
      </w:tr>
      <w:tr>
        <w:trPr/>
        <w:tc>
          <w:tcPr>
            <w:tcW w:w="1508" w:type="dxa"/>
            <w:tcBorders/>
            <w:shd w:fill="CCEEFF" w:val="clear"/>
            <w:vAlign w:val="center"/>
          </w:tcPr>
          <w:p>
            <w:pPr>
              <w:pStyle w:val="TableContents"/>
              <w:bidi w:val="0"/>
              <w:spacing w:before="0" w:after="283"/>
              <w:jc w:val="left"/>
              <w:rPr/>
            </w:pPr>
            <w:r>
              <w:rPr/>
              <w:t>Trade Name/Trademarks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bookmarkStart w:id="468" w:name="xdx_901_eus-gaap--FiniteLivedIntangibleA"/>
            <w:bookmarkEnd w:id="468"/>
            <w:r>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469" w:name="xdx_981_eus-gaap--FiniteLivedIntangibleA"/>
            <w:bookmarkEnd w:id="469"/>
          </w:p>
        </w:tc>
        <w:tc>
          <w:tcPr>
            <w:tcW w:w="714" w:type="dxa"/>
            <w:tcBorders/>
            <w:shd w:fill="CCEEFF" w:val="clear"/>
            <w:vAlign w:val="center"/>
          </w:tcPr>
          <w:p>
            <w:pPr>
              <w:pStyle w:val="TableContents"/>
              <w:bidi w:val="0"/>
              <w:spacing w:before="0" w:after="283"/>
              <w:jc w:val="right"/>
              <w:rPr/>
            </w:pPr>
            <w:r>
              <w:rPr/>
              <w:t>3,294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bookmarkStart w:id="470" w:name="xdx_980_eus-gaap--FiniteLivedIntangibleA"/>
            <w:bookmarkEnd w:id="470"/>
          </w:p>
        </w:tc>
        <w:tc>
          <w:tcPr>
            <w:tcW w:w="1252" w:type="dxa"/>
            <w:tcBorders/>
            <w:shd w:fill="CCEEFF" w:val="clear"/>
            <w:vAlign w:val="center"/>
          </w:tcPr>
          <w:p>
            <w:pPr>
              <w:pStyle w:val="TableContents"/>
              <w:bidi w:val="0"/>
              <w:spacing w:before="0" w:after="283"/>
              <w:jc w:val="right"/>
              <w:rPr/>
            </w:pPr>
            <w:r>
              <w:rPr/>
              <w:t>(490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bookmarkStart w:id="471" w:name="xdx_980_eus-gaap--IntangibleAssetsNetExc"/>
            <w:bookmarkEnd w:id="471"/>
          </w:p>
        </w:tc>
        <w:tc>
          <w:tcPr>
            <w:tcW w:w="839" w:type="dxa"/>
            <w:tcBorders/>
            <w:shd w:fill="CCEEFF" w:val="clear"/>
            <w:vAlign w:val="center"/>
          </w:tcPr>
          <w:p>
            <w:pPr>
              <w:pStyle w:val="TableContents"/>
              <w:bidi w:val="0"/>
              <w:spacing w:before="0" w:after="283"/>
              <w:jc w:val="right"/>
              <w:rPr/>
            </w:pPr>
            <w:r>
              <w:rPr/>
              <w:t>2,804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472" w:name="xdx_989_eus-gaap--FiniteLivedIntangibleA"/>
            <w:bookmarkEnd w:id="472"/>
          </w:p>
        </w:tc>
        <w:tc>
          <w:tcPr>
            <w:tcW w:w="714" w:type="dxa"/>
            <w:tcBorders/>
            <w:shd w:fill="CCEEFF" w:val="clear"/>
            <w:vAlign w:val="center"/>
          </w:tcPr>
          <w:p>
            <w:pPr>
              <w:pStyle w:val="TableContents"/>
              <w:bidi w:val="0"/>
              <w:spacing w:before="0" w:after="283"/>
              <w:jc w:val="right"/>
              <w:rPr/>
            </w:pPr>
            <w:r>
              <w:rPr/>
              <w:t>3,294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bookmarkStart w:id="473" w:name="xdx_981_eus-gaap--FiniteLivedIntangibleA"/>
            <w:bookmarkEnd w:id="473"/>
          </w:p>
        </w:tc>
        <w:tc>
          <w:tcPr>
            <w:tcW w:w="1123" w:type="dxa"/>
            <w:tcBorders/>
            <w:shd w:fill="CCEEFF" w:val="clear"/>
            <w:vAlign w:val="center"/>
          </w:tcPr>
          <w:p>
            <w:pPr>
              <w:pStyle w:val="TableContents"/>
              <w:bidi w:val="0"/>
              <w:spacing w:before="0" w:after="283"/>
              <w:jc w:val="right"/>
              <w:rPr/>
            </w:pPr>
            <w:r>
              <w:rPr/>
              <w:t>(373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bookmarkStart w:id="474" w:name="xdx_983_eus-gaap--IntangibleAssetsNetExc"/>
            <w:bookmarkEnd w:id="474"/>
          </w:p>
        </w:tc>
        <w:tc>
          <w:tcPr>
            <w:tcW w:w="839" w:type="dxa"/>
            <w:tcBorders/>
            <w:shd w:fill="CCEEFF" w:val="clear"/>
            <w:vAlign w:val="center"/>
          </w:tcPr>
          <w:p>
            <w:pPr>
              <w:pStyle w:val="TableContents"/>
              <w:bidi w:val="0"/>
              <w:spacing w:before="0" w:after="283"/>
              <w:jc w:val="right"/>
              <w:rPr/>
            </w:pPr>
            <w:r>
              <w:rPr/>
              <w:t>2,921</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1508"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bookmarkStart w:id="475" w:name="xdx_906_eus-gaap--FiniteLivedIntangibleA"/>
            <w:bookmarkEnd w:id="475"/>
            <w:r>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476" w:name="xdx_986_eus-gaap--FiniteLivedIntangibleA"/>
            <w:bookmarkEnd w:id="476"/>
          </w:p>
        </w:tc>
        <w:tc>
          <w:tcPr>
            <w:tcW w:w="714" w:type="dxa"/>
            <w:tcBorders/>
            <w:shd w:fill="FFFFFF" w:val="clear"/>
            <w:vAlign w:val="center"/>
          </w:tcPr>
          <w:p>
            <w:pPr>
              <w:pStyle w:val="TableContents"/>
              <w:bidi w:val="0"/>
              <w:spacing w:before="0" w:after="283"/>
              <w:jc w:val="right"/>
              <w:rPr/>
            </w:pPr>
            <w:r>
              <w:rPr/>
              <w:t>5,604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bookmarkStart w:id="477" w:name="xdx_98B_eus-gaap--FiniteLivedIntangibleA"/>
            <w:bookmarkEnd w:id="477"/>
          </w:p>
        </w:tc>
        <w:tc>
          <w:tcPr>
            <w:tcW w:w="1252" w:type="dxa"/>
            <w:tcBorders/>
            <w:shd w:fill="FFFFFF" w:val="clear"/>
            <w:vAlign w:val="center"/>
          </w:tcPr>
          <w:p>
            <w:pPr>
              <w:pStyle w:val="TableContents"/>
              <w:bidi w:val="0"/>
              <w:spacing w:before="0" w:after="283"/>
              <w:jc w:val="right"/>
              <w:rPr/>
            </w:pPr>
            <w:r>
              <w:rPr/>
              <w:t>(1,168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478" w:name="xdx_981_eus-gaap--IntangibleAssetsNetExc"/>
            <w:bookmarkEnd w:id="478"/>
          </w:p>
        </w:tc>
        <w:tc>
          <w:tcPr>
            <w:tcW w:w="839" w:type="dxa"/>
            <w:tcBorders/>
            <w:shd w:fill="FFFFFF" w:val="clear"/>
            <w:vAlign w:val="center"/>
          </w:tcPr>
          <w:p>
            <w:pPr>
              <w:pStyle w:val="TableContents"/>
              <w:bidi w:val="0"/>
              <w:spacing w:before="0" w:after="283"/>
              <w:jc w:val="right"/>
              <w:rPr/>
            </w:pPr>
            <w:r>
              <w:rPr/>
              <w:t>4,436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479" w:name="xdx_985_eus-gaap--FiniteLivedIntangibleA"/>
            <w:bookmarkEnd w:id="479"/>
          </w:p>
        </w:tc>
        <w:tc>
          <w:tcPr>
            <w:tcW w:w="714" w:type="dxa"/>
            <w:tcBorders/>
            <w:shd w:fill="FFFFFF" w:val="clear"/>
            <w:vAlign w:val="center"/>
          </w:tcPr>
          <w:p>
            <w:pPr>
              <w:pStyle w:val="TableContents"/>
              <w:bidi w:val="0"/>
              <w:spacing w:before="0" w:after="283"/>
              <w:jc w:val="right"/>
              <w:rPr/>
            </w:pPr>
            <w:r>
              <w:rPr/>
              <w:t>5,604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480" w:name="xdx_98A_eus-gaap--FiniteLivedIntangibleA"/>
            <w:bookmarkEnd w:id="480"/>
          </w:p>
        </w:tc>
        <w:tc>
          <w:tcPr>
            <w:tcW w:w="1123" w:type="dxa"/>
            <w:tcBorders/>
            <w:shd w:fill="FFFFFF" w:val="clear"/>
            <w:vAlign w:val="center"/>
          </w:tcPr>
          <w:p>
            <w:pPr>
              <w:pStyle w:val="TableContents"/>
              <w:bidi w:val="0"/>
              <w:spacing w:before="0" w:after="283"/>
              <w:jc w:val="right"/>
              <w:rPr/>
            </w:pPr>
            <w:r>
              <w:rPr/>
              <w:t>(887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481" w:name="xdx_986_eus-gaap--IntangibleAssetsNetExc"/>
            <w:bookmarkEnd w:id="481"/>
          </w:p>
        </w:tc>
        <w:tc>
          <w:tcPr>
            <w:tcW w:w="839" w:type="dxa"/>
            <w:tcBorders/>
            <w:shd w:fill="FFFFFF" w:val="clear"/>
            <w:vAlign w:val="center"/>
          </w:tcPr>
          <w:p>
            <w:pPr>
              <w:pStyle w:val="TableContents"/>
              <w:bidi w:val="0"/>
              <w:spacing w:before="0" w:after="283"/>
              <w:jc w:val="right"/>
              <w:rPr/>
            </w:pPr>
            <w:r>
              <w:rPr/>
              <w:t>4,717</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508"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bookmarkStart w:id="482" w:name="xdx_907_eus-gaap--FiniteLivedIntangibleA"/>
            <w:bookmarkEnd w:id="482"/>
            <w:r>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483" w:name="xdx_982_eus-gaap--FiniteLivedIntangibleA"/>
            <w:bookmarkEnd w:id="483"/>
          </w:p>
        </w:tc>
        <w:tc>
          <w:tcPr>
            <w:tcW w:w="714" w:type="dxa"/>
            <w:tcBorders/>
            <w:shd w:fill="CCEEFF" w:val="clear"/>
            <w:vAlign w:val="center"/>
          </w:tcPr>
          <w:p>
            <w:pPr>
              <w:pStyle w:val="TableContents"/>
              <w:bidi w:val="0"/>
              <w:spacing w:before="0" w:after="283"/>
              <w:jc w:val="right"/>
              <w:rPr/>
            </w:pPr>
            <w:r>
              <w:rPr/>
              <w:t>8,697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bookmarkStart w:id="484" w:name="xdx_98D_eus-gaap--FiniteLivedIntangibleA"/>
            <w:bookmarkEnd w:id="484"/>
          </w:p>
        </w:tc>
        <w:tc>
          <w:tcPr>
            <w:tcW w:w="1252" w:type="dxa"/>
            <w:tcBorders/>
            <w:shd w:fill="CCEEFF" w:val="clear"/>
            <w:vAlign w:val="center"/>
          </w:tcPr>
          <w:p>
            <w:pPr>
              <w:pStyle w:val="TableContents"/>
              <w:bidi w:val="0"/>
              <w:spacing w:before="0" w:after="283"/>
              <w:jc w:val="right"/>
              <w:rPr/>
            </w:pPr>
            <w:r>
              <w:rPr/>
              <w:t>(906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bookmarkStart w:id="485" w:name="xdx_98C_eus-gaap--IntangibleAssetsNetExc"/>
            <w:bookmarkEnd w:id="485"/>
          </w:p>
        </w:tc>
        <w:tc>
          <w:tcPr>
            <w:tcW w:w="839" w:type="dxa"/>
            <w:tcBorders/>
            <w:shd w:fill="CCEEFF" w:val="clear"/>
            <w:vAlign w:val="center"/>
          </w:tcPr>
          <w:p>
            <w:pPr>
              <w:pStyle w:val="TableContents"/>
              <w:bidi w:val="0"/>
              <w:spacing w:before="0" w:after="283"/>
              <w:jc w:val="right"/>
              <w:rPr/>
            </w:pPr>
            <w:r>
              <w:rPr/>
              <w:t>7,791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486" w:name="xdx_98E_eus-gaap--FiniteLivedIntangibleA"/>
            <w:bookmarkEnd w:id="486"/>
          </w:p>
        </w:tc>
        <w:tc>
          <w:tcPr>
            <w:tcW w:w="714" w:type="dxa"/>
            <w:tcBorders/>
            <w:shd w:fill="CCEEFF" w:val="clear"/>
            <w:vAlign w:val="center"/>
          </w:tcPr>
          <w:p>
            <w:pPr>
              <w:pStyle w:val="TableContents"/>
              <w:bidi w:val="0"/>
              <w:spacing w:before="0" w:after="283"/>
              <w:jc w:val="right"/>
              <w:rPr/>
            </w:pPr>
            <w:r>
              <w:rPr/>
              <w:t>8,697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487" w:name="xdx_98C_eus-gaap--FiniteLivedIntangibleA"/>
            <w:bookmarkEnd w:id="487"/>
          </w:p>
        </w:tc>
        <w:tc>
          <w:tcPr>
            <w:tcW w:w="1123" w:type="dxa"/>
            <w:tcBorders/>
            <w:shd w:fill="CCEEFF" w:val="clear"/>
            <w:vAlign w:val="center"/>
          </w:tcPr>
          <w:p>
            <w:pPr>
              <w:pStyle w:val="TableContents"/>
              <w:bidi w:val="0"/>
              <w:spacing w:before="0" w:after="283"/>
              <w:jc w:val="right"/>
              <w:rPr/>
            </w:pPr>
            <w:r>
              <w:rPr/>
              <w:t>(688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bookmarkStart w:id="488" w:name="xdx_98F_eus-gaap--IntangibleAssetsNetExc"/>
            <w:bookmarkEnd w:id="488"/>
          </w:p>
        </w:tc>
        <w:tc>
          <w:tcPr>
            <w:tcW w:w="839" w:type="dxa"/>
            <w:tcBorders/>
            <w:shd w:fill="CCEEFF" w:val="clear"/>
            <w:vAlign w:val="center"/>
          </w:tcPr>
          <w:p>
            <w:pPr>
              <w:pStyle w:val="TableContents"/>
              <w:bidi w:val="0"/>
              <w:spacing w:before="0" w:after="283"/>
              <w:jc w:val="right"/>
              <w:rPr/>
            </w:pPr>
            <w:r>
              <w:rPr/>
              <w:t>8,009</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1508" w:type="dxa"/>
            <w:tcBorders/>
            <w:shd w:fill="FFFFFF" w:val="clear"/>
            <w:vAlign w:val="center"/>
          </w:tcPr>
          <w:p>
            <w:pPr>
              <w:pStyle w:val="TableContents"/>
              <w:bidi w:val="0"/>
              <w:spacing w:before="0" w:after="283"/>
              <w:jc w:val="left"/>
              <w:rPr/>
            </w:pPr>
            <w:r>
              <w:rPr/>
              <w:t>Patents and Intellectual Property</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bookmarkStart w:id="489" w:name="xdx_90A_eus-gaap--FiniteLivedIntangibleA"/>
            <w:bookmarkEnd w:id="489"/>
            <w:r>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0" w:name="xdx_985_eus-gaap--FiniteLivedIntangibleA"/>
            <w:bookmarkEnd w:id="490"/>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2,703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1" w:name="xdx_983_eus-gaap--FiniteLivedIntangibleA"/>
            <w:bookmarkEnd w:id="491"/>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pPr>
            <w:r>
              <w:rPr/>
              <w:t>(281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2" w:name="xdx_98F_eus-gaap--IntangibleAssetsNetExc"/>
            <w:bookmarkEnd w:id="492"/>
          </w:p>
        </w:tc>
        <w:tc>
          <w:tcPr>
            <w:tcW w:w="839" w:type="dxa"/>
            <w:tcBorders>
              <w:bottom w:val="single" w:sz="8" w:space="0" w:color="000000"/>
            </w:tcBorders>
            <w:shd w:fill="FFFFFF" w:val="clear"/>
            <w:tcMar>
              <w:bottom w:w="28" w:type="dxa"/>
            </w:tcMar>
            <w:vAlign w:val="center"/>
          </w:tcPr>
          <w:p>
            <w:pPr>
              <w:pStyle w:val="TableContents"/>
              <w:bidi w:val="0"/>
              <w:spacing w:before="0" w:after="283"/>
              <w:jc w:val="right"/>
              <w:rPr/>
            </w:pPr>
            <w:r>
              <w:rPr/>
              <w:t>2,422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3" w:name="xdx_984_eus-gaap--FiniteLivedIntangibleA"/>
            <w:bookmarkEnd w:id="493"/>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2,703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4" w:name="xdx_98B_eus-gaap--FiniteLivedIntangibleA"/>
            <w:bookmarkEnd w:id="494"/>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(214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5" w:name="xdx_98E_eus-gaap--IntangibleAssetsNetExc"/>
            <w:bookmarkEnd w:id="495"/>
          </w:p>
        </w:tc>
        <w:tc>
          <w:tcPr>
            <w:tcW w:w="839" w:type="dxa"/>
            <w:tcBorders>
              <w:bottom w:val="single" w:sz="8" w:space="0" w:color="000000"/>
            </w:tcBorders>
            <w:shd w:fill="FFFFFF" w:val="clear"/>
            <w:tcMar>
              <w:bottom w:w="28" w:type="dxa"/>
            </w:tcMar>
            <w:vAlign w:val="center"/>
          </w:tcPr>
          <w:p>
            <w:pPr>
              <w:pStyle w:val="TableContents"/>
              <w:bidi w:val="0"/>
              <w:spacing w:before="0" w:after="283"/>
              <w:jc w:val="right"/>
              <w:rPr/>
            </w:pPr>
            <w:r>
              <w:rPr/>
              <w:t>2,489</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1508" w:type="dxa"/>
            <w:tcBorders/>
            <w:shd w:fill="CCEEFF" w:val="clear"/>
            <w:vAlign w:val="center"/>
          </w:tcPr>
          <w:p>
            <w:pPr>
              <w:pStyle w:val="TableContents"/>
              <w:bidi w:val="0"/>
              <w:spacing w:before="0" w:after="283"/>
              <w:jc w:val="left"/>
              <w:rPr>
                <w:b/>
              </w:rPr>
            </w:pPr>
            <w:r>
              <w:rPr>
                <w:b/>
              </w:rPr>
              <w:t>Totals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96" w:name="xdx_98E_eus-gaap--FiniteLivedIntangibleA"/>
            <w:bookmarkEnd w:id="496"/>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97" w:name="xdx_98B_eus-gaap--FiniteLivedIntangibleA"/>
            <w:bookmarkEnd w:id="497"/>
          </w:p>
        </w:tc>
        <w:tc>
          <w:tcPr>
            <w:tcW w:w="125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98" w:name="xdx_98F_eus-gaap--IntangibleAssetsNetExc"/>
            <w:bookmarkEnd w:id="498"/>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99" w:name="xdx_98F_eus-gaap--FiniteLivedIntangibleA"/>
            <w:bookmarkEnd w:id="499"/>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00" w:name="xdx_985_eus-gaap--FiniteLivedIntangibleA"/>
            <w:bookmarkEnd w:id="500"/>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01" w:name="xdx_98E_eus-gaap--IntangibleAssetsNetExc"/>
            <w:bookmarkEnd w:id="501"/>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18,136</w:t>
            </w:r>
          </w:p>
        </w:tc>
        <w:tc>
          <w:tcPr>
            <w:tcW w:w="8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02" w:name="xdx_8A3_znsDMSIXR9yd"/>
      <w:bookmarkEnd w:id="50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jc w:val="left"/>
        <w:rPr>
          <w:caps w:val="false"/>
          <w:smallCaps w:val="false"/>
        </w:rPr>
      </w:pPr>
      <w:bookmarkStart w:id="503" w:name="xdx_232_z3xP2EnPjOCj"/>
      <w:bookmarkEnd w:id="503"/>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04" w:name="xdx_23B_zsFgrLzjmGXi"/>
      <w:bookmarkEnd w:id="504"/>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amortization expense on intangible assets as of March 2024 is anticipated to be as follows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5" w:name="xdx_89C_eus-gaap--ScheduleofFiniteLivedI"/>
      <w:bookmarkStart w:id="506" w:name="xdx_89C_eus-gaap--ScheduleofFiniteLivedI"/>
      <w:bookmarkEnd w:id="506"/>
    </w:p>
    <w:tbl>
      <w:tblPr>
        <w:tblW w:w="4705" w:type="dxa"/>
        <w:jc w:val="left"/>
        <w:tblInd w:w="0" w:type="dxa"/>
        <w:tblLayout w:type="fixed"/>
        <w:tblCellMar>
          <w:top w:w="0" w:type="dxa"/>
          <w:left w:w="0" w:type="dxa"/>
          <w:bottom w:w="0" w:type="dxa"/>
          <w:right w:w="0" w:type="dxa"/>
        </w:tblCellMar>
      </w:tblPr>
      <w:tblGrid>
        <w:gridCol w:w="3710"/>
        <w:gridCol w:w="60"/>
        <w:gridCol w:w="146"/>
        <w:gridCol w:w="714"/>
        <w:gridCol w:w="75"/>
      </w:tblGrid>
      <w:tr>
        <w:trPr/>
        <w:tc>
          <w:tcPr>
            <w:tcW w:w="371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507" w:name="xdx_49B_20240331__srt--StatementScenario"/>
            <w:bookmarkEnd w:id="507"/>
          </w:p>
        </w:tc>
        <w:tc>
          <w:tcPr>
            <w:tcW w:w="7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bottom w:val="single" w:sz="8" w:space="0" w:color="000000"/>
            </w:tcBorders>
            <w:tcMar>
              <w:bottom w:w="28" w:type="dxa"/>
            </w:tcMar>
            <w:vAlign w:val="center"/>
          </w:tcPr>
          <w:p>
            <w:pPr>
              <w:pStyle w:val="TableContents"/>
              <w:bidi w:val="0"/>
              <w:spacing w:before="0" w:after="283"/>
              <w:jc w:val="left"/>
              <w:rPr>
                <w:b/>
              </w:rPr>
            </w:pPr>
            <w:r>
              <w:rPr>
                <w:b/>
              </w:rPr>
              <w:t>For the Years Ending December 31,</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180"/>
              <w:jc w:val="left"/>
              <w:rPr/>
            </w:pPr>
            <w:r>
              <w:rPr/>
              <w:t> </w:t>
            </w:r>
            <w:bookmarkStart w:id="508" w:name="xdx_402_eus-gaap--FiniteLivedIntangibleA"/>
            <w:bookmarkEnd w:id="508"/>
          </w:p>
        </w:tc>
      </w:tr>
      <w:tr>
        <w:trPr/>
        <w:tc>
          <w:tcPr>
            <w:tcW w:w="3710" w:type="dxa"/>
            <w:tcBorders/>
            <w:shd w:fill="CCEEFF" w:val="clear"/>
            <w:vAlign w:val="center"/>
          </w:tcPr>
          <w:p>
            <w:pPr>
              <w:pStyle w:val="TableContents"/>
              <w:bidi w:val="0"/>
              <w:spacing w:before="0" w:after="283"/>
              <w:jc w:val="left"/>
              <w:rPr/>
            </w:pPr>
            <w:r>
              <w:rPr/>
              <w:t>2024 (remainder of year)</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2,048</w:t>
            </w:r>
          </w:p>
        </w:tc>
        <w:tc>
          <w:tcPr>
            <w:tcW w:w="75" w:type="dxa"/>
            <w:tcBorders/>
            <w:shd w:fill="CCEEFF" w:val="clear"/>
            <w:vAlign w:val="center"/>
          </w:tcPr>
          <w:p>
            <w:pPr>
              <w:pStyle w:val="TableContents"/>
              <w:bidi w:val="0"/>
              <w:spacing w:before="0" w:after="283"/>
              <w:ind w:left="0" w:right="0" w:hanging="180"/>
              <w:jc w:val="left"/>
              <w:rPr/>
            </w:pPr>
            <w:r>
              <w:rPr/>
              <w:t> </w:t>
            </w:r>
            <w:bookmarkStart w:id="509" w:name="xdx_405_eus-gaap--FiniteLivedIntangibleA"/>
            <w:bookmarkEnd w:id="509"/>
          </w:p>
        </w:tc>
      </w:tr>
      <w:tr>
        <w:trPr/>
        <w:tc>
          <w:tcPr>
            <w:tcW w:w="3710"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2,731</w:t>
            </w:r>
          </w:p>
        </w:tc>
        <w:tc>
          <w:tcPr>
            <w:tcW w:w="75" w:type="dxa"/>
            <w:tcBorders/>
            <w:shd w:fill="FFFFFF" w:val="clear"/>
            <w:vAlign w:val="center"/>
          </w:tcPr>
          <w:p>
            <w:pPr>
              <w:pStyle w:val="TableContents"/>
              <w:bidi w:val="0"/>
              <w:spacing w:before="0" w:after="283"/>
              <w:ind w:left="0" w:right="0" w:hanging="180"/>
              <w:jc w:val="left"/>
              <w:rPr/>
            </w:pPr>
            <w:r>
              <w:rPr/>
              <w:t> </w:t>
            </w:r>
            <w:bookmarkStart w:id="510" w:name="xdx_40A_eus-gaap--FiniteLivedIntangibleA"/>
            <w:bookmarkEnd w:id="510"/>
          </w:p>
        </w:tc>
      </w:tr>
      <w:tr>
        <w:trPr/>
        <w:tc>
          <w:tcPr>
            <w:tcW w:w="371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2,731</w:t>
            </w:r>
          </w:p>
        </w:tc>
        <w:tc>
          <w:tcPr>
            <w:tcW w:w="75" w:type="dxa"/>
            <w:tcBorders/>
            <w:shd w:fill="CCEEFF" w:val="clear"/>
            <w:vAlign w:val="center"/>
          </w:tcPr>
          <w:p>
            <w:pPr>
              <w:pStyle w:val="TableContents"/>
              <w:bidi w:val="0"/>
              <w:spacing w:before="0" w:after="283"/>
              <w:ind w:left="0" w:right="0" w:hanging="180"/>
              <w:jc w:val="left"/>
              <w:rPr/>
            </w:pPr>
            <w:r>
              <w:rPr/>
              <w:t> </w:t>
            </w:r>
            <w:bookmarkStart w:id="511" w:name="xdx_401_eus-gaap--FiniteLivedIntangibleA"/>
            <w:bookmarkEnd w:id="511"/>
          </w:p>
        </w:tc>
      </w:tr>
      <w:tr>
        <w:trPr/>
        <w:tc>
          <w:tcPr>
            <w:tcW w:w="371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2,731</w:t>
            </w:r>
          </w:p>
        </w:tc>
        <w:tc>
          <w:tcPr>
            <w:tcW w:w="75" w:type="dxa"/>
            <w:tcBorders/>
            <w:shd w:fill="FFFFFF" w:val="clear"/>
            <w:vAlign w:val="center"/>
          </w:tcPr>
          <w:p>
            <w:pPr>
              <w:pStyle w:val="TableContents"/>
              <w:bidi w:val="0"/>
              <w:spacing w:before="0" w:after="283"/>
              <w:ind w:left="0" w:right="0" w:hanging="180"/>
              <w:jc w:val="left"/>
              <w:rPr/>
            </w:pPr>
            <w:r>
              <w:rPr/>
              <w:t> </w:t>
            </w:r>
            <w:bookmarkStart w:id="512" w:name="xdx_400_eus-gaap--FiniteLivedIntangibleA"/>
            <w:bookmarkEnd w:id="512"/>
          </w:p>
        </w:tc>
      </w:tr>
      <w:tr>
        <w:trPr/>
        <w:tc>
          <w:tcPr>
            <w:tcW w:w="371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1,844</w:t>
            </w:r>
          </w:p>
        </w:tc>
        <w:tc>
          <w:tcPr>
            <w:tcW w:w="75" w:type="dxa"/>
            <w:tcBorders/>
            <w:shd w:fill="CCEEFF" w:val="clear"/>
            <w:vAlign w:val="center"/>
          </w:tcPr>
          <w:p>
            <w:pPr>
              <w:pStyle w:val="TableContents"/>
              <w:bidi w:val="0"/>
              <w:spacing w:before="0" w:after="283"/>
              <w:ind w:left="0" w:right="0" w:hanging="180"/>
              <w:jc w:val="left"/>
              <w:rPr/>
            </w:pPr>
            <w:r>
              <w:rPr/>
              <w:t> </w:t>
            </w:r>
            <w:bookmarkStart w:id="513" w:name="xdx_400_eus-gaap--FiniteLivedIntangibleA"/>
            <w:bookmarkEnd w:id="513"/>
          </w:p>
        </w:tc>
      </w:tr>
      <w:tr>
        <w:trPr/>
        <w:tc>
          <w:tcPr>
            <w:tcW w:w="3710" w:type="dxa"/>
            <w:tcBorders/>
            <w:shd w:fill="FFFFFF" w:val="clear"/>
            <w:vAlign w:val="center"/>
          </w:tcPr>
          <w:p>
            <w:pPr>
              <w:pStyle w:val="TableContents"/>
              <w:bidi w:val="0"/>
              <w:spacing w:before="0" w:after="283"/>
              <w:jc w:val="left"/>
              <w:rPr/>
            </w:pPr>
            <w:r>
              <w:rPr/>
              <w:t>2029 and thereafter</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5,368</w:t>
            </w:r>
          </w:p>
        </w:tc>
        <w:tc>
          <w:tcPr>
            <w:tcW w:w="75" w:type="dxa"/>
            <w:tcBorders/>
            <w:shd w:fill="FFFFFF" w:val="clear"/>
            <w:vAlign w:val="center"/>
          </w:tcPr>
          <w:p>
            <w:pPr>
              <w:pStyle w:val="TableContents"/>
              <w:bidi w:val="0"/>
              <w:spacing w:before="0" w:after="283"/>
              <w:ind w:left="0" w:right="0" w:hanging="180"/>
              <w:jc w:val="left"/>
              <w:rPr/>
            </w:pPr>
            <w:r>
              <w:rPr/>
              <w:t> </w:t>
            </w:r>
            <w:bookmarkStart w:id="514" w:name="xdx_408_eus-gaap--FiniteLivedIntangibleA"/>
            <w:bookmarkEnd w:id="514"/>
          </w:p>
        </w:tc>
      </w:tr>
      <w:tr>
        <w:trPr/>
        <w:tc>
          <w:tcPr>
            <w:tcW w:w="371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17,453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15" w:name="xdx_8A7_z0fLSvmiiTNh"/>
      <w:bookmarkEnd w:id="515"/>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16" w:name="xdx_807_ecustom--DeferredRevenueTextBloc"/>
      <w:bookmarkEnd w:id="516"/>
      <w:r>
        <w:rPr>
          <w:rFonts w:ascii="Times New Roman;Times;Serif" w:hAnsi="Times New Roman;Times;Serif"/>
          <w:b/>
          <w:i w:val="false"/>
          <w:caps w:val="false"/>
          <w:smallCaps w:val="false"/>
          <w:sz w:val="20"/>
        </w:rPr>
        <w:t xml:space="preserve">NOTE 8 – </w:t>
      </w:r>
      <w:bookmarkStart w:id="517" w:name="xdx_826_zoAXY9we6vA9"/>
      <w:bookmarkEnd w:id="517"/>
      <w:r>
        <w:rPr>
          <w:rFonts w:ascii="Times New Roman;Times;Serif" w:hAnsi="Times New Roman;Times;Serif"/>
          <w:b/>
          <w:i w:val="false"/>
          <w:caps w:val="false"/>
          <w:smallCaps w:val="false"/>
          <w:sz w:val="20"/>
        </w:rPr>
        <w:t>Deferred 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consisted of the following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18" w:name="xdx_898_ecustom--ScheduleOfDeferredReven"/>
      <w:bookmarkStart w:id="519" w:name="xdx_898_ecustom--ScheduleOfDeferredReven"/>
      <w:bookmarkEnd w:id="519"/>
    </w:p>
    <w:tbl>
      <w:tblPr>
        <w:tblW w:w="7465" w:type="dxa"/>
        <w:jc w:val="left"/>
        <w:tblInd w:w="0" w:type="dxa"/>
        <w:tblLayout w:type="fixed"/>
        <w:tblCellMar>
          <w:top w:w="0" w:type="dxa"/>
          <w:left w:w="0" w:type="dxa"/>
          <w:bottom w:w="0" w:type="dxa"/>
          <w:right w:w="0" w:type="dxa"/>
        </w:tblCellMar>
      </w:tblPr>
      <w:tblGrid>
        <w:gridCol w:w="3725"/>
        <w:gridCol w:w="60"/>
        <w:gridCol w:w="223"/>
        <w:gridCol w:w="1012"/>
        <w:gridCol w:w="95"/>
        <w:gridCol w:w="60"/>
        <w:gridCol w:w="294"/>
        <w:gridCol w:w="956"/>
        <w:gridCol w:w="95"/>
        <w:gridCol w:w="60"/>
        <w:gridCol w:w="140"/>
        <w:gridCol w:w="635"/>
        <w:gridCol w:w="110"/>
      </w:tblGrid>
      <w:tr>
        <w:trPr/>
        <w:tc>
          <w:tcPr>
            <w:tcW w:w="3725" w:type="dxa"/>
            <w:tcBorders/>
            <w:shd w:fill="FFFFFF" w:val="clear"/>
            <w:vAlign w:val="center"/>
          </w:tcPr>
          <w:p>
            <w:pPr>
              <w:pStyle w:val="TableContents"/>
              <w:bidi w:val="0"/>
              <w:spacing w:before="0" w:after="283"/>
              <w:ind w:left="0" w:right="0" w:hanging="180"/>
              <w:jc w:val="left"/>
              <w:rPr/>
            </w:pPr>
            <w:bookmarkStart w:id="520" w:name="xdx_8BD_zsw40c0kJt4f"/>
            <w:bookmarkEnd w:id="520"/>
            <w:r>
              <w:rPr/>
              <w:t>Schedule of deferred revenue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License</w:t>
              <w:br/>
              <w:t>Agreements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Professional</w:t>
              <w:br/>
              <w:t>Service</w:t>
              <w:br/>
              <w:t>Agreements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pPr>
            <w:r>
              <w:rPr/>
              <w:t>Deferred Revenue – January 1, 2024</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bookmarkStart w:id="521" w:name="xdx_982_eus-gaap--DeferredRevenue_iS_pn3"/>
            <w:bookmarkEnd w:id="521"/>
          </w:p>
        </w:tc>
        <w:tc>
          <w:tcPr>
            <w:tcW w:w="1012" w:type="dxa"/>
            <w:tcBorders/>
            <w:shd w:fill="CCEEFF" w:val="clear"/>
            <w:vAlign w:val="center"/>
          </w:tcPr>
          <w:p>
            <w:pPr>
              <w:pStyle w:val="TableContents"/>
              <w:bidi w:val="0"/>
              <w:spacing w:before="0" w:after="283"/>
              <w:jc w:val="right"/>
              <w:rPr/>
            </w:pPr>
            <w:r>
              <w:rPr/>
              <w:t>2,404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bookmarkStart w:id="522" w:name="xdx_988_eus-gaap--DeferredRevenue_iS_pn3"/>
            <w:bookmarkEnd w:id="522"/>
          </w:p>
        </w:tc>
        <w:tc>
          <w:tcPr>
            <w:tcW w:w="956" w:type="dxa"/>
            <w:tcBorders/>
            <w:shd w:fill="CCEEFF" w:val="clear"/>
            <w:vAlign w:val="center"/>
          </w:tcPr>
          <w:p>
            <w:pPr>
              <w:pStyle w:val="TableContents"/>
              <w:bidi w:val="0"/>
              <w:spacing w:before="0" w:after="283"/>
              <w:jc w:val="right"/>
              <w:rPr/>
            </w:pPr>
            <w:r>
              <w:rPr/>
              <w:t>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23" w:name="xdx_982_eus-gaap--DeferredRevenue_iS_pn3"/>
            <w:bookmarkEnd w:id="523"/>
          </w:p>
        </w:tc>
        <w:tc>
          <w:tcPr>
            <w:tcW w:w="635" w:type="dxa"/>
            <w:tcBorders/>
            <w:shd w:fill="CCEEFF" w:val="clear"/>
            <w:vAlign w:val="center"/>
          </w:tcPr>
          <w:p>
            <w:pPr>
              <w:pStyle w:val="TableContents"/>
              <w:bidi w:val="0"/>
              <w:spacing w:before="0" w:after="283"/>
              <w:jc w:val="right"/>
              <w:rPr/>
            </w:pPr>
            <w:r>
              <w:rPr/>
              <w:t>2,878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524" w:name="xdx_988_ecustom--RecognizedRevenue_pn3n3"/>
            <w:bookmarkEnd w:id="524"/>
          </w:p>
        </w:tc>
        <w:tc>
          <w:tcPr>
            <w:tcW w:w="1012" w:type="dxa"/>
            <w:tcBorders/>
            <w:shd w:fill="FFFFFF" w:val="clear"/>
            <w:vAlign w:val="center"/>
          </w:tcPr>
          <w:p>
            <w:pPr>
              <w:pStyle w:val="TableContents"/>
              <w:bidi w:val="0"/>
              <w:spacing w:before="0" w:after="283"/>
              <w:jc w:val="right"/>
              <w:rPr/>
            </w:pPr>
            <w:r>
              <w:rPr/>
              <w:t>(1,588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bookmarkStart w:id="525" w:name="xdx_98A_ecustom--RecognizedRevenue_c2024"/>
            <w:bookmarkEnd w:id="525"/>
          </w:p>
        </w:tc>
        <w:tc>
          <w:tcPr>
            <w:tcW w:w="956" w:type="dxa"/>
            <w:tcBorders/>
            <w:shd w:fill="FFFFFF" w:val="clear"/>
            <w:vAlign w:val="center"/>
          </w:tcPr>
          <w:p>
            <w:pPr>
              <w:pStyle w:val="TableContents"/>
              <w:bidi w:val="0"/>
              <w:spacing w:before="0" w:after="283"/>
              <w:jc w:val="right"/>
              <w:rPr/>
            </w:pPr>
            <w:r>
              <w:rPr/>
              <w:t>(230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26" w:name="xdx_98E_ecustom--RecognizedRevenue_c2024"/>
            <w:bookmarkEnd w:id="526"/>
          </w:p>
        </w:tc>
        <w:tc>
          <w:tcPr>
            <w:tcW w:w="635" w:type="dxa"/>
            <w:tcBorders/>
            <w:shd w:fill="FFFFFF" w:val="clear"/>
            <w:vAlign w:val="center"/>
          </w:tcPr>
          <w:p>
            <w:pPr>
              <w:pStyle w:val="TableContents"/>
              <w:bidi w:val="0"/>
              <w:spacing w:before="0" w:after="283"/>
              <w:jc w:val="right"/>
              <w:rPr/>
            </w:pPr>
            <w:r>
              <w:rPr/>
              <w:t>(1,818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725" w:type="dxa"/>
            <w:tcBorders/>
            <w:shd w:fill="CCEEFF" w:val="clear"/>
            <w:vAlign w:val="center"/>
          </w:tcPr>
          <w:p>
            <w:pPr>
              <w:pStyle w:val="TableContents"/>
              <w:bidi w:val="0"/>
              <w:spacing w:before="0" w:after="283"/>
              <w:jc w:val="left"/>
              <w:rPr/>
            </w:pPr>
            <w:r>
              <w:rPr/>
              <w:t>Revenue deferred</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7" w:name="xdx_98E_ecustom--RevenueDeferred_pn3n3_c"/>
            <w:bookmarkEnd w:id="527"/>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pPr>
            <w:r>
              <w:rPr/>
              <w:t>2,406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8" w:name="xdx_98C_ecustom--RevenueDeferred_c202401"/>
            <w:bookmarkEnd w:id="528"/>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pPr>
            <w:r>
              <w:rPr/>
              <w:t>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9" w:name="xdx_98A_ecustom--RevenueDeferred_c202401"/>
            <w:bookmarkEnd w:id="529"/>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2,572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shd w:fill="FFFFFF" w:val="clear"/>
            <w:vAlign w:val="center"/>
          </w:tcPr>
          <w:p>
            <w:pPr>
              <w:pStyle w:val="TableContents"/>
              <w:bidi w:val="0"/>
              <w:spacing w:before="0" w:after="283"/>
              <w:jc w:val="left"/>
              <w:rPr>
                <w:b/>
              </w:rPr>
            </w:pPr>
            <w:r>
              <w:rPr>
                <w:b/>
              </w:rPr>
              <w:t>Deferred Revenue – March 31, 2024</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530" w:name="xdx_980_eus-gaap--DeferredRevenue_iE_pn3"/>
            <w:bookmarkEnd w:id="530"/>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3,222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531" w:name="xdx_985_eus-gaap--DeferredRevenue_iE_pn3"/>
            <w:bookmarkEnd w:id="531"/>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532" w:name="xdx_988_eus-gaap--DeferredRevenue_iE_pn3"/>
            <w:bookmarkEnd w:id="532"/>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3,632</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4070"/>
        <w:gridCol w:w="60"/>
        <w:gridCol w:w="223"/>
        <w:gridCol w:w="1012"/>
        <w:gridCol w:w="95"/>
        <w:gridCol w:w="60"/>
        <w:gridCol w:w="225"/>
        <w:gridCol w:w="1025"/>
        <w:gridCol w:w="95"/>
        <w:gridCol w:w="60"/>
        <w:gridCol w:w="140"/>
        <w:gridCol w:w="635"/>
        <w:gridCol w:w="110"/>
      </w:tblGrid>
      <w:tr>
        <w:trPr/>
        <w:tc>
          <w:tcPr>
            <w:tcW w:w="40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License</w:t>
              <w:br/>
              <w:t>Agreements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Professional</w:t>
              <w:br/>
              <w:t>Service</w:t>
              <w:br/>
              <w:t>Agreements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pPr>
            <w:r>
              <w:rPr/>
              <w:t>Deferred Revenue – March 15, 2023</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bookmarkStart w:id="533" w:name="xdx_982_eus-gaap--DeferredRevenue_iS_pn3"/>
            <w:bookmarkEnd w:id="533"/>
          </w:p>
        </w:tc>
        <w:tc>
          <w:tcPr>
            <w:tcW w:w="1012" w:type="dxa"/>
            <w:tcBorders/>
            <w:shd w:fill="CCEEFF" w:val="clear"/>
            <w:vAlign w:val="center"/>
          </w:tcPr>
          <w:p>
            <w:pPr>
              <w:pStyle w:val="TableContents"/>
              <w:bidi w:val="0"/>
              <w:spacing w:before="0" w:after="283"/>
              <w:jc w:val="right"/>
              <w:rPr/>
            </w:pPr>
            <w:r>
              <w:rPr/>
              <w:t>2,148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bookmarkStart w:id="534" w:name="xdx_984_eus-gaap--DeferredRevenue_iS_pn3"/>
            <w:bookmarkEnd w:id="534"/>
          </w:p>
        </w:tc>
        <w:tc>
          <w:tcPr>
            <w:tcW w:w="1025" w:type="dxa"/>
            <w:tcBorders/>
            <w:shd w:fill="CCEEFF" w:val="clear"/>
            <w:vAlign w:val="center"/>
          </w:tcPr>
          <w:p>
            <w:pPr>
              <w:pStyle w:val="TableContents"/>
              <w:bidi w:val="0"/>
              <w:spacing w:before="0" w:after="283"/>
              <w:jc w:val="right"/>
              <w:rPr/>
            </w:pPr>
            <w:r>
              <w:rPr/>
              <w:t>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35" w:name="xdx_986_eus-gaap--DeferredRevenue_iS_pn3"/>
            <w:bookmarkEnd w:id="535"/>
          </w:p>
        </w:tc>
        <w:tc>
          <w:tcPr>
            <w:tcW w:w="635" w:type="dxa"/>
            <w:tcBorders/>
            <w:shd w:fill="CCEEFF" w:val="clear"/>
            <w:vAlign w:val="center"/>
          </w:tcPr>
          <w:p>
            <w:pPr>
              <w:pStyle w:val="TableContents"/>
              <w:bidi w:val="0"/>
              <w:spacing w:before="0" w:after="283"/>
              <w:jc w:val="right"/>
              <w:rPr/>
            </w:pPr>
            <w:r>
              <w:rPr/>
              <w:t>2,534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bookmarkStart w:id="536" w:name="xdx_984_ecustom--RecognizedRevenue_pn3n3"/>
            <w:bookmarkEnd w:id="536"/>
          </w:p>
        </w:tc>
        <w:tc>
          <w:tcPr>
            <w:tcW w:w="1012" w:type="dxa"/>
            <w:tcBorders/>
            <w:shd w:fill="FFFFFF" w:val="clear"/>
            <w:vAlign w:val="center"/>
          </w:tcPr>
          <w:p>
            <w:pPr>
              <w:pStyle w:val="TableContents"/>
              <w:bidi w:val="0"/>
              <w:spacing w:before="0" w:after="283"/>
              <w:jc w:val="right"/>
              <w:rPr/>
            </w:pPr>
            <w:r>
              <w:rPr/>
              <w:t>(4,560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bookmarkStart w:id="537" w:name="xdx_98D_ecustom--RecognizedRevenue_c2023"/>
            <w:bookmarkEnd w:id="537"/>
          </w:p>
        </w:tc>
        <w:tc>
          <w:tcPr>
            <w:tcW w:w="1025" w:type="dxa"/>
            <w:tcBorders/>
            <w:shd w:fill="FFFFFF" w:val="clear"/>
            <w:vAlign w:val="center"/>
          </w:tcPr>
          <w:p>
            <w:pPr>
              <w:pStyle w:val="TableContents"/>
              <w:bidi w:val="0"/>
              <w:spacing w:before="0" w:after="283"/>
              <w:jc w:val="right"/>
              <w:rPr/>
            </w:pPr>
            <w:r>
              <w:rPr/>
              <w:t>(1,186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38" w:name="xdx_982_ecustom--RecognizedRevenue_c2023"/>
            <w:bookmarkEnd w:id="538"/>
          </w:p>
        </w:tc>
        <w:tc>
          <w:tcPr>
            <w:tcW w:w="635" w:type="dxa"/>
            <w:tcBorders/>
            <w:shd w:fill="FFFFFF" w:val="clear"/>
            <w:vAlign w:val="center"/>
          </w:tcPr>
          <w:p>
            <w:pPr>
              <w:pStyle w:val="TableContents"/>
              <w:bidi w:val="0"/>
              <w:spacing w:before="0" w:after="283"/>
              <w:jc w:val="right"/>
              <w:rPr/>
            </w:pPr>
            <w:r>
              <w:rPr/>
              <w:t>(5,746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070" w:type="dxa"/>
            <w:tcBorders/>
            <w:shd w:fill="CCEEFF" w:val="clear"/>
            <w:vAlign w:val="center"/>
          </w:tcPr>
          <w:p>
            <w:pPr>
              <w:pStyle w:val="TableContents"/>
              <w:bidi w:val="0"/>
              <w:spacing w:before="0" w:after="283"/>
              <w:jc w:val="left"/>
              <w:rPr/>
            </w:pPr>
            <w:r>
              <w:rPr/>
              <w:t>Revenue deferred</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9" w:name="xdx_987_ecustom--RevenueDeferred_c202303"/>
            <w:bookmarkEnd w:id="539"/>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pPr>
            <w:r>
              <w:rPr/>
              <w:t>4,816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0" w:name="xdx_989_ecustom--RevenueDeferred_c202303"/>
            <w:bookmarkEnd w:id="540"/>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1,274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1" w:name="xdx_987_ecustom--RevenueDeferred_c202303"/>
            <w:bookmarkEnd w:id="541"/>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6,090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b/>
              </w:rPr>
            </w:pPr>
            <w:r>
              <w:rPr>
                <w:b/>
              </w:rPr>
              <w:t>Deferred Revenue – December 31, 2023</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542" w:name="xdx_983_eus-gaap--DeferredRevenue_iE_pn3"/>
            <w:bookmarkEnd w:id="542"/>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543" w:name="xdx_989_eus-gaap--DeferredRevenue_iE_pn3"/>
            <w:bookmarkEnd w:id="543"/>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544" w:name="xdx_984_eus-gaap--DeferredRevenue_iE_pn3"/>
            <w:bookmarkEnd w:id="544"/>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45" w:name="xdx_8AB_z98R57i9kFKf"/>
      <w:bookmarkEnd w:id="54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 were approximately $</w:t>
      </w:r>
      <w:bookmarkStart w:id="546" w:name="xdx_90C_eus-gaap--DeferredRevenue_iI_pn3"/>
      <w:bookmarkEnd w:id="546"/>
      <w:r>
        <w:rPr>
          <w:rFonts w:ascii="Times New Roman;Times;Serif" w:hAnsi="Times New Roman;Times;Serif"/>
          <w:b w:val="false"/>
          <w:i w:val="false"/>
          <w:caps w:val="false"/>
          <w:smallCaps w:val="false"/>
          <w:sz w:val="20"/>
        </w:rPr>
        <w:t>3,632 thousand and $</w:t>
      </w:r>
      <w:bookmarkStart w:id="547" w:name="xdx_909_eus-gaap--DeferredRevenue_iI_pn3"/>
      <w:bookmarkEnd w:id="547"/>
      <w:r>
        <w:rPr>
          <w:rFonts w:ascii="Times New Roman;Times;Serif" w:hAnsi="Times New Roman;Times;Serif"/>
          <w:b w:val="false"/>
          <w:i w:val="false"/>
          <w:caps w:val="false"/>
          <w:smallCaps w:val="false"/>
          <w:sz w:val="20"/>
        </w:rPr>
        <w:t>2,878 thousand at March 31, 2024 (Successor) and December 31, 2023 (Successor),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deferred revenue approximates the services to be rendered.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48" w:name="xdx_802_eus-gaap--AccountsPayableAndAccr"/>
      <w:bookmarkEnd w:id="548"/>
      <w:r>
        <w:rPr>
          <w:rFonts w:ascii="Times New Roman;Times;Serif" w:hAnsi="Times New Roman;Times;Serif"/>
          <w:b/>
          <w:i w:val="false"/>
          <w:caps w:val="false"/>
          <w:smallCaps w:val="false"/>
          <w:sz w:val="20"/>
        </w:rPr>
        <w:t xml:space="preserve">NOTE 9 – </w:t>
      </w:r>
      <w:bookmarkStart w:id="549" w:name="xdx_82A_zPUqOGGUMOub"/>
      <w:bookmarkEnd w:id="549"/>
      <w:r>
        <w:rPr>
          <w:rFonts w:ascii="Times New Roman;Times;Serif" w:hAnsi="Times New Roman;Times;Serif"/>
          <w:b/>
          <w:i w:val="false"/>
          <w:caps w:val="false"/>
          <w:smallCaps w:val="false"/>
          <w:sz w:val="20"/>
        </w:rPr>
        <w:t>Accrued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consisted of the following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0" w:name="xdx_884_eus-gaap--ScheduleOfAccruedLiabi"/>
      <w:bookmarkStart w:id="551" w:name="xdx_884_eus-gaap--ScheduleOfAccruedLiabi"/>
      <w:bookmarkEnd w:id="551"/>
    </w:p>
    <w:tbl>
      <w:tblPr>
        <w:tblW w:w="7140" w:type="dxa"/>
        <w:jc w:val="left"/>
        <w:tblInd w:w="0" w:type="dxa"/>
        <w:tblLayout w:type="fixed"/>
        <w:tblCellMar>
          <w:top w:w="0" w:type="dxa"/>
          <w:left w:w="0" w:type="dxa"/>
          <w:bottom w:w="0" w:type="dxa"/>
          <w:right w:w="0" w:type="dxa"/>
        </w:tblCellMar>
      </w:tblPr>
      <w:tblGrid>
        <w:gridCol w:w="4400"/>
        <w:gridCol w:w="60"/>
        <w:gridCol w:w="214"/>
        <w:gridCol w:w="856"/>
        <w:gridCol w:w="60"/>
        <w:gridCol w:w="60"/>
        <w:gridCol w:w="283"/>
        <w:gridCol w:w="1132"/>
        <w:gridCol w:w="75"/>
      </w:tblGrid>
      <w:tr>
        <w:trPr/>
        <w:tc>
          <w:tcPr>
            <w:tcW w:w="4400" w:type="dxa"/>
            <w:tcBorders/>
            <w:shd w:fill="FFFFFF" w:val="clear"/>
            <w:vAlign w:val="center"/>
          </w:tcPr>
          <w:p>
            <w:pPr>
              <w:pStyle w:val="TableContents"/>
              <w:bidi w:val="0"/>
              <w:spacing w:before="0" w:after="283"/>
              <w:ind w:left="0" w:right="0" w:hanging="180"/>
              <w:jc w:val="left"/>
              <w:rPr/>
            </w:pPr>
            <w:bookmarkStart w:id="552" w:name="xdx_8BA_zn1WziVgcG47"/>
            <w:bookmarkEnd w:id="552"/>
            <w:r>
              <w:rPr/>
              <w:t>Schedule of accrued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553" w:name="xdx_49E_20240331__srt--StatementScenario"/>
            <w:bookmarkEnd w:id="553"/>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554" w:name="xdx_496_20231231__srt--StatementScenario"/>
            <w:bookmarkEnd w:id="554"/>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2023</w:t>
            </w:r>
          </w:p>
        </w:tc>
        <w:tc>
          <w:tcPr>
            <w:tcW w:w="75" w:type="dxa"/>
            <w:tcBorders/>
            <w:vAlign w:val="center"/>
          </w:tcPr>
          <w:p>
            <w:pPr>
              <w:pStyle w:val="TableContents"/>
              <w:bidi w:val="0"/>
              <w:spacing w:before="0" w:after="283"/>
              <w:ind w:left="0" w:right="0" w:hanging="180"/>
              <w:jc w:val="left"/>
              <w:rPr/>
            </w:pPr>
            <w:r>
              <w:rPr/>
              <w:t> </w:t>
            </w:r>
            <w:bookmarkStart w:id="555" w:name="xdx_407_ecustom--AccruedCompensationAndB"/>
            <w:bookmarkEnd w:id="555"/>
          </w:p>
        </w:tc>
      </w:tr>
      <w:tr>
        <w:trPr/>
        <w:tc>
          <w:tcPr>
            <w:tcW w:w="4400"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387</w:t>
            </w:r>
          </w:p>
        </w:tc>
        <w:tc>
          <w:tcPr>
            <w:tcW w:w="75" w:type="dxa"/>
            <w:tcBorders/>
            <w:shd w:fill="CCEEFF" w:val="clear"/>
            <w:vAlign w:val="center"/>
          </w:tcPr>
          <w:p>
            <w:pPr>
              <w:pStyle w:val="TableContents"/>
              <w:bidi w:val="0"/>
              <w:spacing w:before="0" w:after="283"/>
              <w:ind w:left="0" w:right="0" w:hanging="180"/>
              <w:jc w:val="left"/>
              <w:rPr/>
            </w:pPr>
            <w:r>
              <w:rPr/>
              <w:t> </w:t>
            </w:r>
            <w:bookmarkStart w:id="556" w:name="xdx_40C_eus-gaap--AccruedBonusesCurrent_"/>
            <w:bookmarkEnd w:id="556"/>
          </w:p>
        </w:tc>
      </w:tr>
      <w:tr>
        <w:trPr/>
        <w:tc>
          <w:tcPr>
            <w:tcW w:w="4400" w:type="dxa"/>
            <w:tcBorders/>
            <w:shd w:fill="FFFFFF" w:val="clear"/>
            <w:vAlign w:val="center"/>
          </w:tcPr>
          <w:p>
            <w:pPr>
              <w:pStyle w:val="TableContents"/>
              <w:bidi w:val="0"/>
              <w:spacing w:before="0" w:after="283"/>
              <w:jc w:val="left"/>
              <w:rPr/>
            </w:pPr>
            <w:r>
              <w:rPr/>
              <w:t>Accrued bonus and commissions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108</w:t>
            </w:r>
          </w:p>
        </w:tc>
        <w:tc>
          <w:tcPr>
            <w:tcW w:w="75" w:type="dxa"/>
            <w:tcBorders/>
            <w:shd w:fill="FFFFFF" w:val="clear"/>
            <w:vAlign w:val="center"/>
          </w:tcPr>
          <w:p>
            <w:pPr>
              <w:pStyle w:val="TableContents"/>
              <w:bidi w:val="0"/>
              <w:spacing w:before="0" w:after="283"/>
              <w:ind w:left="0" w:right="0" w:hanging="180"/>
              <w:jc w:val="left"/>
              <w:rPr/>
            </w:pPr>
            <w:r>
              <w:rPr/>
              <w:t> </w:t>
            </w:r>
            <w:bookmarkStart w:id="557" w:name="xdx_408_eus-gaap--AccruedIncomeTaxes_iI_"/>
            <w:bookmarkEnd w:id="557"/>
          </w:p>
        </w:tc>
      </w:tr>
      <w:tr>
        <w:trPr/>
        <w:tc>
          <w:tcPr>
            <w:tcW w:w="4400" w:type="dxa"/>
            <w:tcBorders/>
            <w:shd w:fill="CCEEFF" w:val="clear"/>
            <w:vAlign w:val="center"/>
          </w:tcPr>
          <w:p>
            <w:pPr>
              <w:pStyle w:val="TableContents"/>
              <w:bidi w:val="0"/>
              <w:spacing w:before="0" w:after="283"/>
              <w:jc w:val="left"/>
              <w:rPr/>
            </w:pPr>
            <w:r>
              <w:rPr/>
              <w:t>Income tax payables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74</w:t>
            </w:r>
          </w:p>
        </w:tc>
        <w:tc>
          <w:tcPr>
            <w:tcW w:w="75" w:type="dxa"/>
            <w:tcBorders/>
            <w:shd w:fill="CCEEFF" w:val="clear"/>
            <w:vAlign w:val="center"/>
          </w:tcPr>
          <w:p>
            <w:pPr>
              <w:pStyle w:val="TableContents"/>
              <w:bidi w:val="0"/>
              <w:spacing w:before="0" w:after="283"/>
              <w:ind w:left="0" w:right="0" w:hanging="180"/>
              <w:jc w:val="left"/>
              <w:rPr/>
            </w:pPr>
            <w:r>
              <w:rPr/>
              <w:t> </w:t>
            </w:r>
            <w:bookmarkStart w:id="558" w:name="xdx_402_eus-gaap--AccruedInsuranceCurren"/>
            <w:bookmarkEnd w:id="558"/>
          </w:p>
        </w:tc>
      </w:tr>
      <w:tr>
        <w:trPr/>
        <w:tc>
          <w:tcPr>
            <w:tcW w:w="4400" w:type="dxa"/>
            <w:tcBorders/>
            <w:shd w:fill="FFFFFF" w:val="clear"/>
            <w:vAlign w:val="center"/>
          </w:tcPr>
          <w:p>
            <w:pPr>
              <w:pStyle w:val="TableContents"/>
              <w:bidi w:val="0"/>
              <w:spacing w:before="0" w:after="283"/>
              <w:jc w:val="left"/>
              <w:rPr/>
            </w:pPr>
            <w:r>
              <w:rPr/>
              <w:t>Accrued insurance premium and interest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bookmarkStart w:id="559" w:name="xdx_40B_ecustom--AccruedTransactionCosts"/>
            <w:bookmarkEnd w:id="559"/>
          </w:p>
        </w:tc>
      </w:tr>
      <w:tr>
        <w:trPr/>
        <w:tc>
          <w:tcPr>
            <w:tcW w:w="4400" w:type="dxa"/>
            <w:tcBorders/>
            <w:shd w:fill="CCEEFF" w:val="clear"/>
            <w:vAlign w:val="center"/>
          </w:tcPr>
          <w:p>
            <w:pPr>
              <w:pStyle w:val="TableContents"/>
              <w:bidi w:val="0"/>
              <w:spacing w:before="0" w:after="283"/>
              <w:jc w:val="left"/>
              <w:rPr/>
            </w:pPr>
            <w:r>
              <w:rPr/>
              <w:t>Accrued transaction costs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ind w:left="0" w:right="0" w:hanging="180"/>
              <w:jc w:val="left"/>
              <w:rPr/>
            </w:pPr>
            <w:r>
              <w:rPr/>
              <w:t> </w:t>
            </w:r>
            <w:bookmarkStart w:id="560" w:name="xdx_402_eus-gaap--AccrualForTaxesOtherTh"/>
            <w:bookmarkEnd w:id="560"/>
          </w:p>
        </w:tc>
      </w:tr>
      <w:tr>
        <w:trPr/>
        <w:tc>
          <w:tcPr>
            <w:tcW w:w="4400" w:type="dxa"/>
            <w:tcBorders/>
            <w:shd w:fill="FFFFFF" w:val="clear"/>
            <w:vAlign w:val="center"/>
          </w:tcPr>
          <w:p>
            <w:pPr>
              <w:pStyle w:val="TableContents"/>
              <w:bidi w:val="0"/>
              <w:spacing w:before="0" w:after="283"/>
              <w:jc w:val="left"/>
              <w:rPr/>
            </w:pPr>
            <w:r>
              <w:rPr/>
              <w:t>Accrued sales and other indirect taxes payable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ind w:left="0" w:right="0" w:hanging="180"/>
              <w:jc w:val="left"/>
              <w:rPr/>
            </w:pPr>
            <w:r>
              <w:rPr/>
              <w:t> </w:t>
            </w:r>
            <w:bookmarkStart w:id="561" w:name="xdx_402_ecustom--AccruedOther_iI_pn3n3_m"/>
            <w:bookmarkEnd w:id="561"/>
          </w:p>
        </w:tc>
      </w:tr>
      <w:tr>
        <w:trPr/>
        <w:tc>
          <w:tcPr>
            <w:tcW w:w="4400" w:type="dxa"/>
            <w:tcBorders/>
            <w:shd w:fill="CCEEFF" w:val="clear"/>
            <w:vAlign w:val="center"/>
          </w:tcPr>
          <w:p>
            <w:pPr>
              <w:pStyle w:val="TableContents"/>
              <w:bidi w:val="0"/>
              <w:spacing w:before="0" w:after="283"/>
              <w:jc w:val="left"/>
              <w:rPr/>
            </w:pPr>
            <w:r>
              <w:rPr/>
              <w:t>Accrued other</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858</w:t>
            </w:r>
          </w:p>
        </w:tc>
        <w:tc>
          <w:tcPr>
            <w:tcW w:w="75" w:type="dxa"/>
            <w:tcBorders/>
            <w:shd w:fill="CCEEFF" w:val="clear"/>
            <w:vAlign w:val="center"/>
          </w:tcPr>
          <w:p>
            <w:pPr>
              <w:pStyle w:val="TableContents"/>
              <w:bidi w:val="0"/>
              <w:spacing w:before="0" w:after="283"/>
              <w:ind w:left="0" w:right="0" w:hanging="180"/>
              <w:jc w:val="left"/>
              <w:rPr/>
            </w:pPr>
            <w:r>
              <w:rPr/>
              <w:t> </w:t>
            </w:r>
            <w:bookmarkStart w:id="562" w:name="xdx_408_eus-gaap--AccruedLiabilitiesCurr"/>
            <w:bookmarkEnd w:id="562"/>
          </w:p>
        </w:tc>
      </w:tr>
      <w:tr>
        <w:trPr/>
        <w:tc>
          <w:tcPr>
            <w:tcW w:w="4400" w:type="dxa"/>
            <w:tcBorders/>
            <w:shd w:fill="FFFFFF" w:val="clear"/>
            <w:vAlign w:val="center"/>
          </w:tcPr>
          <w:p>
            <w:pPr>
              <w:pStyle w:val="TableContents"/>
              <w:bidi w:val="0"/>
              <w:spacing w:before="0" w:after="283"/>
              <w:jc w:val="left"/>
              <w:rPr>
                <w:b/>
              </w:rPr>
            </w:pPr>
            <w:r>
              <w:rPr>
                <w:b/>
              </w:rPr>
              <w:t>Accrued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1,452</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jc w:val="left"/>
        <w:rPr>
          <w:caps w:val="false"/>
          <w:smallCaps w:val="false"/>
        </w:rPr>
      </w:pPr>
      <w:bookmarkStart w:id="563" w:name="xdx_230_zolGP0jI4HR8"/>
      <w:bookmarkEnd w:id="563"/>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64" w:name="xdx_23D_z6LQnsPCHtO3"/>
      <w:bookmarkEnd w:id="564"/>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Financed Director &amp; Officers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Directors &amp; Officers (“D&amp;O”) insurance agreement with Oakwood D&amp;O Insurance, effective on March 14, 2024. The agreement states that the Company will pay a total of $310 thousand in premiums at an annual percentage rate of 9.5%. The first of ten monthly separate installment payments begin on April 14, 2023. The Company paid a down payment on the policy of $</w:t>
      </w:r>
      <w:bookmarkStart w:id="565" w:name="xdx_90F_ecustom--DownPayment_pn3n3_c2024"/>
      <w:bookmarkEnd w:id="565"/>
      <w:r>
        <w:rPr>
          <w:rFonts w:ascii="Times New Roman;Times;Serif" w:hAnsi="Times New Roman;Times;Serif"/>
          <w:b w:val="false"/>
          <w:i w:val="false"/>
          <w:caps w:val="false"/>
          <w:smallCaps w:val="false"/>
          <w:sz w:val="20"/>
        </w:rPr>
        <w:t>85 thousand. As of March 31, 2024 (Successor) the Company currently owes $</w:t>
      </w:r>
      <w:bookmarkStart w:id="566" w:name="xdx_903_ecustom--DueToRelatedParties_iI_"/>
      <w:bookmarkEnd w:id="566"/>
      <w:r>
        <w:rPr>
          <w:rFonts w:ascii="Times New Roman;Times;Serif" w:hAnsi="Times New Roman;Times;Serif"/>
          <w:b w:val="false"/>
          <w:i w:val="false"/>
          <w:caps w:val="false"/>
          <w:smallCaps w:val="false"/>
          <w:sz w:val="20"/>
        </w:rPr>
        <w:t>226 thousand on the D&amp;O insurance policy.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67" w:name="xdx_809_eus-gaap--DebtDisclosureTextBloc"/>
      <w:bookmarkEnd w:id="567"/>
      <w:r>
        <w:rPr>
          <w:rFonts w:ascii="Times New Roman;Times;Serif" w:hAnsi="Times New Roman;Times;Serif"/>
          <w:b/>
          <w:i w:val="false"/>
          <w:caps w:val="false"/>
          <w:smallCaps w:val="false"/>
          <w:sz w:val="20"/>
        </w:rPr>
        <w:t xml:space="preserve">NOTE 10 – </w:t>
      </w:r>
      <w:bookmarkStart w:id="568" w:name="xdx_820_z1RC12Prs3S6"/>
      <w:bookmarkEnd w:id="568"/>
      <w:r>
        <w:rPr>
          <w:rFonts w:ascii="Times New Roman;Times;Serif" w:hAnsi="Times New Roman;Times;Serif"/>
          <w:b/>
          <w:i w:val="false"/>
          <w:caps w:val="false"/>
          <w:smallCaps w:val="false"/>
          <w:sz w:val="20"/>
        </w:rPr>
        <w:t>Promissory Note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 consisted of the following (in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69" w:name="xdx_883_eus-gaap--ScheduleOfDebtTableTex"/>
      <w:bookmarkStart w:id="570" w:name="xdx_883_eus-gaap--ScheduleOfDebtTableTex"/>
      <w:bookmarkEnd w:id="570"/>
    </w:p>
    <w:tbl>
      <w:tblPr>
        <w:tblW w:w="6720" w:type="dxa"/>
        <w:jc w:val="left"/>
        <w:tblInd w:w="0" w:type="dxa"/>
        <w:tblLayout w:type="fixed"/>
        <w:tblCellMar>
          <w:top w:w="0" w:type="dxa"/>
          <w:left w:w="0" w:type="dxa"/>
          <w:bottom w:w="0" w:type="dxa"/>
          <w:right w:w="0" w:type="dxa"/>
        </w:tblCellMar>
      </w:tblPr>
      <w:tblGrid>
        <w:gridCol w:w="3980"/>
        <w:gridCol w:w="60"/>
        <w:gridCol w:w="214"/>
        <w:gridCol w:w="856"/>
        <w:gridCol w:w="60"/>
        <w:gridCol w:w="60"/>
        <w:gridCol w:w="283"/>
        <w:gridCol w:w="1132"/>
        <w:gridCol w:w="75"/>
      </w:tblGrid>
      <w:tr>
        <w:trPr/>
        <w:tc>
          <w:tcPr>
            <w:tcW w:w="3980" w:type="dxa"/>
            <w:tcBorders/>
            <w:shd w:fill="FFFFFF" w:val="clear"/>
            <w:vAlign w:val="center"/>
          </w:tcPr>
          <w:p>
            <w:pPr>
              <w:pStyle w:val="TableContents"/>
              <w:bidi w:val="0"/>
              <w:spacing w:before="0" w:after="283"/>
              <w:ind w:left="0" w:right="0" w:hanging="180"/>
              <w:jc w:val="left"/>
              <w:rPr/>
            </w:pPr>
            <w:bookmarkStart w:id="571" w:name="xdx_8B0_zNODiXOIaDpa"/>
            <w:bookmarkEnd w:id="571"/>
            <w:r>
              <w:rPr/>
              <w:t>Promissory note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572" w:name="xdx_499_20240331__srt--StatementScenario"/>
            <w:bookmarkEnd w:id="572"/>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573" w:name="xdx_491_20231231__srt--StatementScenario"/>
            <w:bookmarkEnd w:id="573"/>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2023</w:t>
            </w:r>
          </w:p>
        </w:tc>
        <w:tc>
          <w:tcPr>
            <w:tcW w:w="75" w:type="dxa"/>
            <w:tcBorders/>
            <w:vAlign w:val="center"/>
          </w:tcPr>
          <w:p>
            <w:pPr>
              <w:pStyle w:val="TableContents"/>
              <w:bidi w:val="0"/>
              <w:spacing w:before="0" w:after="283"/>
              <w:ind w:left="0" w:right="0" w:hanging="180"/>
              <w:jc w:val="left"/>
              <w:rPr/>
            </w:pPr>
            <w:r>
              <w:rPr/>
              <w:t> </w:t>
            </w:r>
            <w:bookmarkStart w:id="574" w:name="xdx_40D_eus-gaap--DebtInstrumentFaceAmou"/>
            <w:bookmarkEnd w:id="574"/>
          </w:p>
        </w:tc>
      </w:tr>
      <w:tr>
        <w:trPr/>
        <w:tc>
          <w:tcPr>
            <w:tcW w:w="3980" w:type="dxa"/>
            <w:tcBorders/>
            <w:shd w:fill="CCEEFF" w:val="clear"/>
            <w:vAlign w:val="center"/>
          </w:tcPr>
          <w:p>
            <w:pPr>
              <w:pStyle w:val="TableContents"/>
              <w:bidi w:val="0"/>
              <w:spacing w:before="0" w:after="283"/>
              <w:jc w:val="left"/>
              <w:rPr/>
            </w:pPr>
            <w:r>
              <w:rPr/>
              <w:t>Principal amount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3,885</w:t>
            </w:r>
          </w:p>
        </w:tc>
        <w:tc>
          <w:tcPr>
            <w:tcW w:w="75" w:type="dxa"/>
            <w:tcBorders/>
            <w:shd w:fill="CCEEFF" w:val="clear"/>
            <w:vAlign w:val="center"/>
          </w:tcPr>
          <w:p>
            <w:pPr>
              <w:pStyle w:val="TableContents"/>
              <w:bidi w:val="0"/>
              <w:spacing w:before="0" w:after="283"/>
              <w:ind w:left="0" w:right="0" w:hanging="180"/>
              <w:jc w:val="left"/>
              <w:rPr/>
            </w:pPr>
            <w:r>
              <w:rPr/>
              <w:t> </w:t>
            </w:r>
            <w:bookmarkStart w:id="575" w:name="xdx_406_ecustom--UnamortizedOriginalIssu"/>
            <w:bookmarkEnd w:id="575"/>
          </w:p>
        </w:tc>
      </w:tr>
      <w:tr>
        <w:trPr/>
        <w:tc>
          <w:tcPr>
            <w:tcW w:w="3980" w:type="dxa"/>
            <w:tcBorders/>
            <w:shd w:fill="FFFFFF" w:val="clear"/>
            <w:vAlign w:val="center"/>
          </w:tcPr>
          <w:p>
            <w:pPr>
              <w:pStyle w:val="TableContents"/>
              <w:bidi w:val="0"/>
              <w:spacing w:before="0" w:after="283"/>
              <w:jc w:val="left"/>
              <w:rPr/>
            </w:pPr>
            <w:r>
              <w:rPr/>
              <w:t>Less: Unamortized original issue discount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834</w:t>
            </w:r>
          </w:p>
        </w:tc>
        <w:tc>
          <w:tcPr>
            <w:tcW w:w="75" w:type="dxa"/>
            <w:tcBorders/>
            <w:shd w:fill="FFFFFF" w:val="clear"/>
            <w:vAlign w:val="center"/>
          </w:tcPr>
          <w:p>
            <w:pPr>
              <w:pStyle w:val="TableContents"/>
              <w:bidi w:val="0"/>
              <w:spacing w:before="0" w:after="283"/>
              <w:ind w:left="0" w:right="0" w:hanging="180"/>
              <w:jc w:val="left"/>
              <w:rPr/>
            </w:pPr>
            <w:r>
              <w:rPr/>
              <w:t> </w:t>
            </w:r>
            <w:bookmarkStart w:id="576" w:name="xdx_401_eus-gaap--DebtInstrumentUnamorti"/>
            <w:bookmarkEnd w:id="576"/>
          </w:p>
        </w:tc>
      </w:tr>
      <w:tr>
        <w:trPr/>
        <w:tc>
          <w:tcPr>
            <w:tcW w:w="3980" w:type="dxa"/>
            <w:tcBorders/>
            <w:shd w:fill="CCEEFF" w:val="clear"/>
            <w:vAlign w:val="center"/>
          </w:tcPr>
          <w:p>
            <w:pPr>
              <w:pStyle w:val="TableContents"/>
              <w:bidi w:val="0"/>
              <w:spacing w:before="0" w:after="283"/>
              <w:jc w:val="left"/>
              <w:rPr/>
            </w:pPr>
            <w:r>
              <w:rPr/>
              <w:t>Unamortized debt issuance cost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577" w:name="xdx_98A_ecustom--NotePayableBeforeAccrue"/>
            <w:bookmarkEnd w:id="577"/>
          </w:p>
        </w:tc>
        <w:tc>
          <w:tcPr>
            <w:tcW w:w="856" w:type="dxa"/>
            <w:tcBorders/>
            <w:shd w:fill="FFFFFF" w:val="clear"/>
            <w:vAlign w:val="center"/>
          </w:tcPr>
          <w:p>
            <w:pPr>
              <w:pStyle w:val="TableContents"/>
              <w:bidi w:val="0"/>
              <w:spacing w:before="0" w:after="283"/>
              <w:jc w:val="right"/>
              <w:rPr/>
            </w:pPr>
            <w:r>
              <w:rPr/>
              <w:t>3,258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578" w:name="xdx_98F_ecustom--NotePayableBeforeAccrue"/>
            <w:bookmarkEnd w:id="578"/>
          </w:p>
        </w:tc>
        <w:tc>
          <w:tcPr>
            <w:tcW w:w="1132" w:type="dxa"/>
            <w:tcBorders/>
            <w:shd w:fill="FFFFFF" w:val="clear"/>
            <w:vAlign w:val="center"/>
          </w:tcPr>
          <w:p>
            <w:pPr>
              <w:pStyle w:val="TableContents"/>
              <w:bidi w:val="0"/>
              <w:spacing w:before="0" w:after="283"/>
              <w:jc w:val="right"/>
              <w:rPr/>
            </w:pPr>
            <w:r>
              <w:rPr/>
              <w:t>3,037</w:t>
            </w:r>
          </w:p>
        </w:tc>
        <w:tc>
          <w:tcPr>
            <w:tcW w:w="75" w:type="dxa"/>
            <w:tcBorders/>
            <w:shd w:fill="FFFFFF" w:val="clear"/>
            <w:vAlign w:val="center"/>
          </w:tcPr>
          <w:p>
            <w:pPr>
              <w:pStyle w:val="TableContents"/>
              <w:bidi w:val="0"/>
              <w:spacing w:before="0" w:after="283"/>
              <w:ind w:left="0" w:right="0" w:hanging="180"/>
              <w:jc w:val="left"/>
              <w:rPr/>
            </w:pPr>
            <w:r>
              <w:rPr/>
              <w:t> </w:t>
            </w:r>
            <w:bookmarkStart w:id="579" w:name="xdx_406_eus-gaap--InterestPayableCurrent"/>
            <w:bookmarkEnd w:id="579"/>
          </w:p>
        </w:tc>
      </w:tr>
      <w:tr>
        <w:trPr/>
        <w:tc>
          <w:tcPr>
            <w:tcW w:w="3980" w:type="dxa"/>
            <w:tcBorders/>
            <w:shd w:fill="CCEEFF" w:val="clear"/>
            <w:vAlign w:val="center"/>
          </w:tcPr>
          <w:p>
            <w:pPr>
              <w:pStyle w:val="TableContents"/>
              <w:bidi w:val="0"/>
              <w:spacing w:before="0" w:after="283"/>
              <w:jc w:val="left"/>
              <w:rPr/>
            </w:pPr>
            <w:r>
              <w:rPr/>
              <w:t>Add: Accrued interest payable</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80" w:name="xdx_989_eus-gaap--NotesPayable_c20240331"/>
            <w:bookmarkEnd w:id="580"/>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pPr>
            <w:r>
              <w:rPr/>
              <w:t>3,373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81" w:name="xdx_989_eus-gaap--NotesPayable_iI_pn3n3_"/>
            <w:bookmarkEnd w:id="581"/>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3,053</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2023, we entered into a note purchase agreement with Streeterville Capital, LLC (the “Lender”), pursuant to which we agreed to issue and sell to the Lender an unsecured promissory note (the “Note”) in an aggregate initial principal amount of $</w:t>
      </w:r>
      <w:bookmarkStart w:id="582" w:name="xdx_90D_eus-gaap--DebtInstrumentFaceAmou"/>
      <w:bookmarkEnd w:id="582"/>
      <w:r>
        <w:rPr>
          <w:rFonts w:ascii="Times New Roman;Times;Serif" w:hAnsi="Times New Roman;Times;Serif"/>
          <w:b w:val="false"/>
          <w:i w:val="false"/>
          <w:caps w:val="false"/>
          <w:smallCaps w:val="false"/>
          <w:sz w:val="20"/>
        </w:rPr>
        <w:t>3,885 thousand, which is payable on or before the date that is 12 months from the issuance date. The initial principal amount includes an original issue discount of $870 thousand and $15 thousand that we agreed to pay to the Lender to cover the Lender’s legal fees, accounting costs, due diligence, monitoring and other transaction costs. The net proceeds of the Note is $</w:t>
      </w:r>
      <w:bookmarkStart w:id="583" w:name="xdx_908_eus-gaap--ProceedsFromNotesPayab"/>
      <w:bookmarkEnd w:id="583"/>
      <w:r>
        <w:rPr>
          <w:rFonts w:ascii="Times New Roman;Times;Serif" w:hAnsi="Times New Roman;Times;Serif"/>
          <w:b w:val="false"/>
          <w:i w:val="false"/>
          <w:caps w:val="false"/>
          <w:smallCaps w:val="false"/>
          <w:sz w:val="20"/>
        </w:rPr>
        <w:t>3,000 thousand.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Note accrues at a rate of 10% per annum and is payable on the maturity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monitoring fee of 10% of the outstanding balance will be charged starting six (6) months from the issuance of the Note to cover Lender’s accounting, legal and other costs incurred in monitoring. The foregoing fee shall automatically be added to the outstanding balance on the applicable date without any further action by either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shall have the right to redeem up to an aggregate of 1/6th of the initial principal balance of the Note plus any interest accrued thereunder each month by providing written notice delivered to us; provided, however, that if the Lender does not exercise any monthly redemption amount in its corresponding month then such monthly redemption amount shall be available for the Lender to redeem in any further month in addition to such future month’s monthly redemption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any monthly redemption notice, we shall pay the applicable monthly redemption amount in cash to the Lender within five (5) business days of the Company’s receipt of such monthly redemption notice.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includes customary event of default provisions, subject to certain cure periods, and provides for a default interest rate of 22%. Upon the occurrence of an event of default, interest would accrue on the outstanding balance beginning on the date the applicable event of default occurred at an interest rate equal to the lesser of twenty-two percent (22%) or the maximum rate permitted under applicable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15, 2024, there is an aggregate outstanding principal and interest balance of approximately $</w:t>
      </w:r>
      <w:bookmarkStart w:id="584" w:name="xdx_90E_ecustom--AggregateOutstandingPri"/>
      <w:bookmarkEnd w:id="584"/>
      <w:r>
        <w:rPr>
          <w:rFonts w:ascii="Times New Roman;Times;Serif" w:hAnsi="Times New Roman;Times;Serif"/>
          <w:b w:val="false"/>
          <w:i w:val="false"/>
          <w:caps w:val="false"/>
          <w:smallCaps w:val="false"/>
          <w:sz w:val="20"/>
        </w:rPr>
        <w:t>4,050 thousand underlying the December 2023 Note.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the condensed consolidated statement of operations and comprehensive loss were approximately $</w:t>
      </w:r>
      <w:bookmarkStart w:id="585" w:name="xdx_901_eus-gaap--InterestExpense_c20240"/>
      <w:bookmarkEnd w:id="585"/>
      <w:r>
        <w:rPr>
          <w:rFonts w:ascii="Times New Roman;Times;Serif" w:hAnsi="Times New Roman;Times;Serif"/>
          <w:b w:val="false"/>
          <w:i w:val="false"/>
          <w:caps w:val="false"/>
          <w:smallCaps w:val="false"/>
          <w:sz w:val="20"/>
        </w:rPr>
        <w:t>320 thousand, $</w:t>
      </w:r>
      <w:bookmarkStart w:id="586" w:name="xdx_904_eus-gaap--InterestExpense_c20230"/>
      <w:bookmarkEnd w:id="586"/>
      <w:r>
        <w:rPr>
          <w:rFonts w:ascii="Times New Roman;Times;Serif" w:hAnsi="Times New Roman;Times;Serif"/>
          <w:b w:val="false"/>
          <w:i w:val="false"/>
          <w:caps w:val="false"/>
          <w:smallCaps w:val="false"/>
          <w:sz w:val="20"/>
        </w:rPr>
        <w:t>0 thousand and $</w:t>
      </w:r>
      <w:bookmarkStart w:id="587" w:name="xdx_90A_eus-gaap--InterestExpense_pn3n3_"/>
      <w:bookmarkEnd w:id="587"/>
      <w:r>
        <w:rPr>
          <w:rFonts w:ascii="Times New Roman;Times;Serif" w:hAnsi="Times New Roman;Times;Serif"/>
          <w:b w:val="false"/>
          <w:i w:val="false"/>
          <w:caps w:val="false"/>
          <w:smallCaps w:val="false"/>
          <w:sz w:val="20"/>
        </w:rPr>
        <w:t>53 thousand for the three months ended March 31, 2024 (Successor), for the period from March 15, 2023 to March 31, 2023 (Successor) and for the period from March 15, 2023 to December 31, 2023 (Successor), respectively.</w:t>
      </w:r>
    </w:p>
    <w:p>
      <w:pPr>
        <w:pStyle w:val="TextBody"/>
        <w:bidi w:val="0"/>
        <w:jc w:val="left"/>
        <w:rPr>
          <w:caps w:val="false"/>
          <w:smallCaps w:val="false"/>
        </w:rPr>
      </w:pPr>
      <w:bookmarkStart w:id="588" w:name="xdx_238_zwafxTXNbyUe"/>
      <w:bookmarkEnd w:id="588"/>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bidi w:val="0"/>
        <w:jc w:val="left"/>
        <w:rPr>
          <w:caps w:val="false"/>
          <w:smallCaps w:val="false"/>
        </w:rPr>
      </w:pPr>
      <w:bookmarkStart w:id="589" w:name="xdx_23D_zxAQYqGJHRM9"/>
      <w:bookmarkEnd w:id="589"/>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90" w:name="xdx_234_z1SXsnriFV78"/>
      <w:bookmarkEnd w:id="590"/>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91" w:name="xdx_80A_ecustom--WarrantLiabilitiesTextB"/>
      <w:bookmarkEnd w:id="591"/>
      <w:r>
        <w:rPr>
          <w:rFonts w:ascii="Times New Roman;Times;Serif" w:hAnsi="Times New Roman;Times;Serif"/>
          <w:b/>
          <w:i w:val="false"/>
          <w:caps w:val="false"/>
          <w:smallCaps w:val="false"/>
          <w:sz w:val="20"/>
        </w:rPr>
        <w:t xml:space="preserve">NOTE 11 – </w:t>
      </w:r>
      <w:bookmarkStart w:id="592" w:name="xdx_829_zKlJAY7625z9"/>
      <w:bookmarkEnd w:id="592"/>
      <w:r>
        <w:rPr>
          <w:rFonts w:ascii="Times New Roman;Times;Serif" w:hAnsi="Times New Roman;Times;Serif"/>
          <w:b/>
          <w:i w:val="false"/>
          <w:caps w:val="false"/>
          <w:smallCaps w:val="false"/>
          <w:sz w:val="20"/>
        </w:rPr>
        <w:t>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2024 (Successor) there were </w:t>
      </w:r>
      <w:bookmarkStart w:id="593" w:name="xdx_903_ecustom--ClassOfWarrantsOrRightO"/>
      <w:bookmarkEnd w:id="593"/>
      <w:r>
        <w:rPr>
          <w:rFonts w:ascii="Times New Roman;Times;Serif" w:hAnsi="Times New Roman;Times;Serif"/>
          <w:b w:val="false"/>
          <w:i w:val="false"/>
          <w:caps w:val="false"/>
          <w:smallCaps w:val="false"/>
          <w:sz w:val="20"/>
        </w:rPr>
        <w:t>10,751,862 Public Warrants outstanding. Each whole warrant entitles the holder thereof to purchase one share of the Company’s Class A common stock at a price of $</w:t>
      </w:r>
      <w:bookmarkStart w:id="594" w:name="xdx_902_eus-gaap--WarrantExercisePriceIn"/>
      <w:bookmarkEnd w:id="594"/>
      <w:r>
        <w:rPr>
          <w:rFonts w:ascii="Times New Roman;Times;Serif" w:hAnsi="Times New Roman;Times;Serif"/>
          <w:b w:val="false"/>
          <w:i w:val="false"/>
          <w:caps w:val="false"/>
          <w:smallCaps w:val="false"/>
          <w:sz w:val="20"/>
        </w:rPr>
        <w:t>11.50 per share, subject to adjustments described in the Company’s registration statement on Form S-1 (Registration No. 333-249177) filed in connection with its initial public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is exercisable and will expire on March 15, 2028 or earlier upon redemption or liquidation. Public Warrants may only be exercised for a whole number of shares. No fractional warrants will be issued upon separation of the units and only whole warrants will trade.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13, 2023, warrant holders exercised </w:t>
      </w:r>
      <w:bookmarkStart w:id="595" w:name="xdx_905_ecustom--NumberOfWarrantExercise"/>
      <w:bookmarkEnd w:id="595"/>
      <w:r>
        <w:rPr>
          <w:rFonts w:ascii="Times New Roman;Times;Serif" w:hAnsi="Times New Roman;Times;Serif"/>
          <w:b w:val="false"/>
          <w:i w:val="false"/>
          <w:caps w:val="false"/>
          <w:smallCaps w:val="false"/>
          <w:sz w:val="20"/>
        </w:rPr>
        <w:t>435,000 public warrants at an exercise price of $</w:t>
      </w:r>
      <w:bookmarkStart w:id="596" w:name="xdx_905_eus-gaap--ClassOfWarrantOrRightE"/>
      <w:bookmarkEnd w:id="596"/>
      <w:r>
        <w:rPr>
          <w:rFonts w:ascii="Times New Roman;Times;Serif" w:hAnsi="Times New Roman;Times;Serif"/>
          <w:b w:val="false"/>
          <w:i w:val="false"/>
          <w:caps w:val="false"/>
          <w:smallCaps w:val="false"/>
          <w:sz w:val="20"/>
        </w:rPr>
        <w:t>11.50, for a total of $</w:t>
      </w:r>
      <w:bookmarkStart w:id="597" w:name="xdx_909_eus-gaap--ProceedsFromWarrantExe"/>
      <w:bookmarkEnd w:id="597"/>
      <w:r>
        <w:rPr>
          <w:rFonts w:ascii="Times New Roman;Times;Serif" w:hAnsi="Times New Roman;Times;Serif"/>
          <w:b w:val="false"/>
          <w:i w:val="false"/>
          <w:caps w:val="false"/>
          <w:smallCaps w:val="false"/>
          <w:sz w:val="20"/>
        </w:rPr>
        <w:t>5,002 thousand of cash proceeds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14, 2023, the Company entered into a Warrant Exchange Agreement (the “Agreement”) with an unaffiliated third party investor (the “Warrant Holder”) with respect to warrants to purchase an aggregate of </w:t>
      </w:r>
      <w:bookmarkStart w:id="598" w:name="xdx_909_ecustom--NumberOfWarrantPurchase"/>
      <w:bookmarkEnd w:id="598"/>
      <w:r>
        <w:rPr>
          <w:rFonts w:ascii="Times New Roman;Times;Serif" w:hAnsi="Times New Roman;Times;Serif"/>
          <w:b w:val="false"/>
          <w:i w:val="false"/>
          <w:caps w:val="false"/>
          <w:smallCaps w:val="false"/>
          <w:sz w:val="20"/>
        </w:rPr>
        <w:t>2,000 thousand shares of its common stock, par value $</w:t>
      </w:r>
      <w:bookmarkStart w:id="599" w:name="xdx_90F_eus-gaap--CommonStockParOrStated"/>
      <w:bookmarkEnd w:id="599"/>
      <w:r>
        <w:rPr>
          <w:rFonts w:ascii="Times New Roman;Times;Serif" w:hAnsi="Times New Roman;Times;Serif"/>
          <w:b w:val="false"/>
          <w:i w:val="false"/>
          <w:caps w:val="false"/>
          <w:smallCaps w:val="false"/>
          <w:sz w:val="20"/>
        </w:rPr>
        <w:t xml:space="preserve">0.0001 per share (the “Common Stock”) initially issued by the Company in its initial public offering on December 15, 2020 (the “Public Warrants”). Pursuant to the Agreement, the Company issued an aggregate of </w:t>
      </w:r>
      <w:bookmarkStart w:id="600" w:name="xdx_904_ecustom--NumberOfWarrantExchange"/>
      <w:bookmarkEnd w:id="600"/>
      <w:r>
        <w:rPr>
          <w:rFonts w:ascii="Times New Roman;Times;Serif" w:hAnsi="Times New Roman;Times;Serif"/>
          <w:b w:val="false"/>
          <w:i w:val="false"/>
          <w:caps w:val="false"/>
          <w:smallCaps w:val="false"/>
          <w:sz w:val="20"/>
        </w:rPr>
        <w:t>600 thousand shares of Common Stock to the Warrant Holder in exchange for the surrender and cancellation of the Public Warrants held by such holder. This resulted to an additional paid in capital of $</w:t>
      </w:r>
      <w:bookmarkStart w:id="601" w:name="xdx_906_eus-gaap--AdjustmentsToAdditiona"/>
      <w:bookmarkEnd w:id="601"/>
      <w:r>
        <w:rPr>
          <w:rFonts w:ascii="Times New Roman;Times;Serif" w:hAnsi="Times New Roman;Times;Serif"/>
          <w:b w:val="false"/>
          <w:i w:val="false"/>
          <w:caps w:val="false"/>
          <w:smallCaps w:val="false"/>
          <w:sz w:val="20"/>
        </w:rPr>
        <w:t>4,914 thousand in a non-cash transaction and resulted in a $</w:t>
      </w:r>
      <w:bookmarkStart w:id="602" w:name="xdx_901_eus-gaap--DerivativeFairValueOfD"/>
      <w:bookmarkEnd w:id="602"/>
      <w:r>
        <w:rPr>
          <w:rFonts w:ascii="Times New Roman;Times;Serif" w:hAnsi="Times New Roman;Times;Serif"/>
          <w:b w:val="false"/>
          <w:i w:val="false"/>
          <w:caps w:val="false"/>
          <w:smallCaps w:val="false"/>
          <w:sz w:val="20"/>
        </w:rPr>
        <w:t>3,900 thousand loss on the warrant conversion, which is included in change in fair value of derivative liability in the statement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September 30, 2023, about </w:t>
      </w:r>
      <w:bookmarkStart w:id="603" w:name="xdx_90A_ecustom--NumberOfPublicWarrantsE"/>
      <w:bookmarkEnd w:id="603"/>
      <w:r>
        <w:rPr>
          <w:rFonts w:ascii="Times New Roman;Times;Serif" w:hAnsi="Times New Roman;Times;Serif"/>
          <w:b w:val="false"/>
          <w:i w:val="false"/>
          <w:caps w:val="false"/>
          <w:smallCaps w:val="false"/>
          <w:sz w:val="20"/>
        </w:rPr>
        <w:t xml:space="preserve">613 thousand public warrants to purchase Class A common stock were exercised on a cashless basis for approximately </w:t>
      </w:r>
      <w:bookmarkStart w:id="604" w:name="xdx_901_ecustom--NumberPublicWarrantsExe"/>
      <w:bookmarkEnd w:id="604"/>
      <w:r>
        <w:rPr>
          <w:rFonts w:ascii="Times New Roman;Times;Serif" w:hAnsi="Times New Roman;Times;Serif"/>
          <w:b w:val="false"/>
          <w:i w:val="false"/>
          <w:caps w:val="false"/>
          <w:smallCaps w:val="false"/>
          <w:sz w:val="20"/>
        </w:rPr>
        <w:t>50 thousand shares of common stock and are no longer outstanding.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2024 (Successor) and December 31, 2023 (Successor), there were </w:t>
      </w:r>
      <w:bookmarkStart w:id="605" w:name="xdx_90B_ecustom--ClassOfWarrantsOrRightO"/>
      <w:bookmarkEnd w:id="605"/>
      <w:r>
        <w:rPr>
          <w:rFonts w:ascii="Times New Roman;Times;Serif" w:hAnsi="Times New Roman;Times;Serif"/>
          <w:b w:val="false"/>
          <w:i w:val="false"/>
          <w:caps w:val="false"/>
          <w:smallCaps w:val="false"/>
          <w:sz w:val="20"/>
        </w:rPr>
        <w:t xml:space="preserve">10,280 thousand and </w:t>
      </w:r>
      <w:bookmarkStart w:id="606" w:name="xdx_900_ecustom--ClassOfWarrantsOrRightO"/>
      <w:bookmarkEnd w:id="606"/>
      <w:r>
        <w:rPr>
          <w:rFonts w:ascii="Times New Roman;Times;Serif" w:hAnsi="Times New Roman;Times;Serif"/>
          <w:b w:val="false"/>
          <w:i w:val="false"/>
          <w:caps w:val="false"/>
          <w:smallCaps w:val="false"/>
          <w:sz w:val="20"/>
        </w:rPr>
        <w:t>10,280 thousand Private Placement Warrants outstanding. The Private Placement Warrants are identical to the Public Warrants, except that the Private Placement Warrants and the shares of Class A common stock issuable upon the exercise of the Private Placement Warrants will not be transferable, assignable or salable until April 14, 2023,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bidi w:val="0"/>
        <w:jc w:val="left"/>
        <w:rPr>
          <w:caps w:val="false"/>
          <w:smallCaps w:val="false"/>
        </w:rPr>
      </w:pPr>
      <w:bookmarkStart w:id="607" w:name="xdx_239_zTDh8dj7nCFk"/>
      <w:bookmarkEnd w:id="607"/>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bidi w:val="0"/>
        <w:jc w:val="left"/>
        <w:rPr>
          <w:caps w:val="false"/>
          <w:smallCaps w:val="false"/>
        </w:rPr>
      </w:pPr>
      <w:bookmarkStart w:id="608" w:name="xdx_232_zJcFS5I5qgki"/>
      <w:bookmarkEnd w:id="608"/>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09" w:name="xdx_23A_zvnxWmULo6Jf"/>
      <w:bookmarkEnd w:id="609"/>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10" w:name="xdx_80C_ecustom--StockAwardPlansAndStock"/>
      <w:bookmarkEnd w:id="610"/>
      <w:r>
        <w:rPr>
          <w:rFonts w:ascii="Times New Roman;Times;Serif" w:hAnsi="Times New Roman;Times;Serif"/>
          <w:b/>
          <w:i w:val="false"/>
          <w:caps w:val="false"/>
          <w:smallCaps w:val="false"/>
          <w:sz w:val="20"/>
        </w:rPr>
        <w:t xml:space="preserve">NOTE 12 – </w:t>
      </w:r>
      <w:bookmarkStart w:id="611" w:name="xdx_825_zItkMZTIdSV3"/>
      <w:bookmarkEnd w:id="611"/>
      <w:r>
        <w:rPr>
          <w:rFonts w:ascii="Times New Roman;Times;Serif" w:hAnsi="Times New Roman;Times;Serif"/>
          <w:b/>
          <w:i w:val="false"/>
          <w:caps w:val="false"/>
          <w:smallCaps w:val="false"/>
          <w:sz w:val="20"/>
        </w:rPr>
        <w:t>Stock Option Plan and 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the stock-based compensation resulting from the issuance of options, the Company uses the Black-Scholes option pricing model, which is affected by the Company’s fair value of its stock price as well as assumptions regarding a number of subjective variables. These variables include, but are not limited to, the Company’s expected stock price volatility over the term of the awards, and actual and projected employee stock option exercise behaviors.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Equity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held on March 10, 2023, the KINS stockholders considered and approved, among other things, the Incentive Plan. The Incentive Plan was previously approved, subject to stockholder approval, by KINS’ board of directors. The Incentive Plan became effective immediately upon the closing of the Business Combination. Pursuant to the terms of the Incentive Plan, there are </w:t>
      </w:r>
      <w:bookmarkStart w:id="612" w:name="xdx_909_eus-gaap--ShareBasedCompensation"/>
      <w:bookmarkEnd w:id="612"/>
      <w:r>
        <w:rPr>
          <w:rFonts w:ascii="Times New Roman;Times;Serif" w:hAnsi="Times New Roman;Times;Serif"/>
          <w:b w:val="false"/>
          <w:i w:val="false"/>
          <w:caps w:val="false"/>
          <w:smallCaps w:val="false"/>
          <w:sz w:val="20"/>
        </w:rPr>
        <w:t>2,110,500 shares of CXApp Class A Common Stock available for issuance under the Incentive Plan, which is equal to 15% of the aggregate number of shares of CXApp common stock issued and outstanding immediately after the closing of the Business Combination (giving effect to the redemptions).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Options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6, 2024, a total of </w:t>
      </w:r>
      <w:bookmarkStart w:id="613" w:name="xdx_900_eus-gaap--ShareBasedCompensation"/>
      <w:bookmarkEnd w:id="613"/>
      <w:r>
        <w:rPr>
          <w:rFonts w:ascii="Times New Roman;Times;Serif" w:hAnsi="Times New Roman;Times;Serif"/>
          <w:b w:val="false"/>
          <w:i w:val="false"/>
          <w:caps w:val="false"/>
          <w:smallCaps w:val="false"/>
          <w:sz w:val="20"/>
        </w:rPr>
        <w:t xml:space="preserve">705,000 stock options to purchase the Company’s common stock were granted to employees and consultants of the Company. These options vest over a </w:t>
      </w:r>
      <w:bookmarkStart w:id="614" w:name="xdx_90C_eus-gaap--ShareBasedCompensation"/>
      <w:bookmarkEnd w:id="614"/>
      <w:r>
        <w:rPr>
          <w:rFonts w:ascii="Times New Roman;Times;Serif" w:hAnsi="Times New Roman;Times;Serif"/>
          <w:b w:val="false"/>
          <w:i w:val="false"/>
          <w:caps w:val="false"/>
          <w:smallCaps w:val="false"/>
          <w:sz w:val="20"/>
        </w:rPr>
        <w:t xml:space="preserve">4-year period. The options have a life of </w:t>
      </w:r>
      <w:bookmarkStart w:id="615" w:name="xdx_902_eus-gaap--SharebasedCompensation"/>
      <w:bookmarkEnd w:id="615"/>
      <w:r>
        <w:rPr>
          <w:rFonts w:ascii="Times New Roman;Times;Serif" w:hAnsi="Times New Roman;Times;Serif"/>
          <w:b w:val="false"/>
          <w:i w:val="false"/>
          <w:caps w:val="false"/>
          <w:smallCaps w:val="false"/>
          <w:sz w:val="20"/>
        </w:rPr>
        <w:t>10 years and an exercise price of $</w:t>
      </w:r>
      <w:bookmarkStart w:id="616" w:name="xdx_90A_eus-gaap--ShareBasedCompensation"/>
      <w:bookmarkEnd w:id="616"/>
      <w:r>
        <w:rPr>
          <w:rFonts w:ascii="Times New Roman;Times;Serif" w:hAnsi="Times New Roman;Times;Serif"/>
          <w:b w:val="false"/>
          <w:i w:val="false"/>
          <w:caps w:val="false"/>
          <w:smallCaps w:val="false"/>
          <w:sz w:val="20"/>
        </w:rPr>
        <w:t>1.20 per option. The stock options were valued using the Black-Scholes option valuation model and the weighted average fair value of the awards granted during the period was determined to be $0.74 per option on the grant date. The fair value of the common stock as of the grant date utilized in the Black-Scholes option valuation model was $</w:t>
      </w:r>
      <w:bookmarkStart w:id="617" w:name="xdx_90F_eus-gaap--ShareBasedCompensation"/>
      <w:bookmarkEnd w:id="617"/>
      <w:r>
        <w:rPr>
          <w:rFonts w:ascii="Times New Roman;Times;Serif" w:hAnsi="Times New Roman;Times;Serif"/>
          <w:b w:val="false"/>
          <w:i w:val="false"/>
          <w:caps w:val="false"/>
          <w:smallCaps w:val="false"/>
          <w:sz w:val="20"/>
        </w:rPr>
        <w:t>1.21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below for a summary of the stock options granted under the Incentive Plan:</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8" w:name="xdx_89E_eus-gaap--ScheduleOfShareBasedCo"/>
      <w:bookmarkStart w:id="619" w:name="xdx_89E_eus-gaap--ScheduleOfShareBasedCo"/>
      <w:bookmarkEnd w:id="619"/>
    </w:p>
    <w:tbl>
      <w:tblPr>
        <w:tblW w:w="10089" w:type="dxa"/>
        <w:jc w:val="left"/>
        <w:tblInd w:w="0" w:type="dxa"/>
        <w:tblLayout w:type="fixed"/>
        <w:tblCellMar>
          <w:top w:w="0" w:type="dxa"/>
          <w:left w:w="0" w:type="dxa"/>
          <w:bottom w:w="0" w:type="dxa"/>
          <w:right w:w="0" w:type="dxa"/>
        </w:tblCellMar>
      </w:tblPr>
      <w:tblGrid>
        <w:gridCol w:w="3740"/>
        <w:gridCol w:w="60"/>
        <w:gridCol w:w="65"/>
        <w:gridCol w:w="1064"/>
        <w:gridCol w:w="60"/>
        <w:gridCol w:w="60"/>
        <w:gridCol w:w="450"/>
        <w:gridCol w:w="1415"/>
        <w:gridCol w:w="60"/>
        <w:gridCol w:w="60"/>
        <w:gridCol w:w="150"/>
        <w:gridCol w:w="1100"/>
        <w:gridCol w:w="60"/>
        <w:gridCol w:w="60"/>
        <w:gridCol w:w="388"/>
        <w:gridCol w:w="1222"/>
        <w:gridCol w:w="75"/>
      </w:tblGrid>
      <w:tr>
        <w:trPr/>
        <w:tc>
          <w:tcPr>
            <w:tcW w:w="3740" w:type="dxa"/>
            <w:tcBorders/>
            <w:shd w:fill="FFFFFF" w:val="clear"/>
            <w:vAlign w:val="center"/>
          </w:tcPr>
          <w:p>
            <w:pPr>
              <w:pStyle w:val="TableContents"/>
              <w:bidi w:val="0"/>
              <w:spacing w:before="0" w:after="283"/>
              <w:ind w:left="0" w:right="0" w:hanging="180"/>
              <w:jc w:val="left"/>
              <w:rPr/>
            </w:pPr>
            <w:bookmarkStart w:id="620" w:name="xdx_8BC_zKDYkGJ55YR"/>
            <w:bookmarkEnd w:id="620"/>
            <w:r>
              <w:rPr/>
              <w:t>Schedule of stock options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Options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at</w:t>
              <w:br/>
              <w:t>Grant Date</w:t>
            </w:r>
          </w:p>
        </w:tc>
        <w:tc>
          <w:tcPr>
            <w:tcW w:w="75" w:type="dxa"/>
            <w:tcBorders/>
            <w:vAlign w:val="center"/>
          </w:tcPr>
          <w:p>
            <w:pPr>
              <w:pStyle w:val="TableContents"/>
              <w:bidi w:val="0"/>
              <w:spacing w:before="0" w:after="283"/>
              <w:ind w:left="0" w:right="0" w:hanging="180"/>
              <w:jc w:val="center"/>
              <w:rPr/>
            </w:pPr>
            <w:r>
              <w:rPr/>
              <w:t> </w:t>
            </w:r>
          </w:p>
        </w:tc>
      </w:tr>
      <w:tr>
        <w:trPr/>
        <w:tc>
          <w:tcPr>
            <w:tcW w:w="3740" w:type="dxa"/>
            <w:tcBorders/>
            <w:shd w:fill="CCEEFF" w:val="clear"/>
            <w:vAlign w:val="center"/>
          </w:tcPr>
          <w:p>
            <w:pPr>
              <w:pStyle w:val="TableContents"/>
              <w:bidi w:val="0"/>
              <w:spacing w:before="0" w:after="283"/>
              <w:jc w:val="left"/>
              <w:rPr/>
            </w:pPr>
            <w:r>
              <w:rPr/>
              <w:t>Options outstanding at January 1, 2024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621" w:name="xdx_984_eus-gaap--ShareBasedCompensation"/>
            <w:bookmarkEnd w:id="621"/>
          </w:p>
        </w:tc>
        <w:tc>
          <w:tcPr>
            <w:tcW w:w="1064" w:type="dxa"/>
            <w:tcBorders/>
            <w:shd w:fill="CCEEFF" w:val="clear"/>
            <w:vAlign w:val="center"/>
          </w:tcPr>
          <w:p>
            <w:pPr>
              <w:pStyle w:val="TableContents"/>
              <w:bidi w:val="0"/>
              <w:spacing w:before="0" w:after="283"/>
              <w:jc w:val="right"/>
              <w:rPr/>
            </w:pPr>
            <w:r>
              <w:rPr/>
              <w:t>984,900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w:t>
            </w:r>
            <w:bookmarkStart w:id="622" w:name="xdx_982_eus-gaap--ShareBasedCompensation"/>
            <w:bookmarkEnd w:id="622"/>
          </w:p>
        </w:tc>
        <w:tc>
          <w:tcPr>
            <w:tcW w:w="1415"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623" w:name="xdx_902_eus-gaap--SharebasedCompensation"/>
            <w:bookmarkEnd w:id="623"/>
            <w:r>
              <w:rPr/>
              <w:t>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bookmarkStart w:id="624" w:name="xdx_983_eus-gaap--ShareBasedCompensation"/>
            <w:bookmarkEnd w:id="624"/>
          </w:p>
        </w:tc>
        <w:tc>
          <w:tcPr>
            <w:tcW w:w="1222" w:type="dxa"/>
            <w:tcBorders/>
            <w:shd w:fill="CCEEFF" w:val="clear"/>
            <w:vAlign w:val="center"/>
          </w:tcPr>
          <w:p>
            <w:pPr>
              <w:pStyle w:val="TableContents"/>
              <w:bidi w:val="0"/>
              <w:spacing w:before="0" w:after="283"/>
              <w:jc w:val="right"/>
              <w:rPr/>
            </w:pPr>
            <w:r>
              <w:rPr/>
              <w:t>0.90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625" w:name="xdx_98C_eus-gaap--ShareBasedCompensation"/>
            <w:bookmarkEnd w:id="625"/>
          </w:p>
        </w:tc>
        <w:tc>
          <w:tcPr>
            <w:tcW w:w="1064" w:type="dxa"/>
            <w:tcBorders/>
            <w:shd w:fill="FFFFFF" w:val="clear"/>
            <w:vAlign w:val="center"/>
          </w:tcPr>
          <w:p>
            <w:pPr>
              <w:pStyle w:val="TableContents"/>
              <w:bidi w:val="0"/>
              <w:spacing w:before="0" w:after="283"/>
              <w:jc w:val="right"/>
              <w:rPr/>
            </w:pPr>
            <w:r>
              <w:rPr/>
              <w:t>705,000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bookmarkStart w:id="626" w:name="xdx_985_eus-gaap--ShareBasedCompensation"/>
            <w:bookmarkEnd w:id="626"/>
          </w:p>
        </w:tc>
        <w:tc>
          <w:tcPr>
            <w:tcW w:w="1415" w:type="dxa"/>
            <w:tcBorders/>
            <w:shd w:fill="FFFFFF" w:val="clear"/>
            <w:vAlign w:val="center"/>
          </w:tcPr>
          <w:p>
            <w:pPr>
              <w:pStyle w:val="TableContents"/>
              <w:bidi w:val="0"/>
              <w:spacing w:before="0" w:after="283"/>
              <w:jc w:val="right"/>
              <w:rPr/>
            </w:pPr>
            <w:r>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627" w:name="xdx_902_eus-gaap--ShareBasedCompensation"/>
            <w:bookmarkEnd w:id="627"/>
            <w:r>
              <w:rPr/>
              <w:t>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bookmarkStart w:id="628" w:name="xdx_981_eus-gaap--ShareBasedCompensation"/>
            <w:bookmarkEnd w:id="628"/>
          </w:p>
        </w:tc>
        <w:tc>
          <w:tcPr>
            <w:tcW w:w="1222" w:type="dxa"/>
            <w:tcBorders/>
            <w:shd w:fill="FFFFFF" w:val="clear"/>
            <w:vAlign w:val="center"/>
          </w:tcPr>
          <w:p>
            <w:pPr>
              <w:pStyle w:val="TableContents"/>
              <w:bidi w:val="0"/>
              <w:spacing w:before="0" w:after="283"/>
              <w:jc w:val="right"/>
              <w:rPr/>
            </w:pPr>
            <w:r>
              <w:rPr/>
              <w:t>0.74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4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29" w:name="xdx_981_eus-gaap--SharebasedCompensation"/>
            <w:bookmarkEnd w:id="629"/>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40" w:type="dxa"/>
            <w:tcBorders/>
            <w:shd w:fill="FFFFFF" w:val="clear"/>
            <w:vAlign w:val="center"/>
          </w:tcPr>
          <w:p>
            <w:pPr>
              <w:pStyle w:val="TableContents"/>
              <w:bidi w:val="0"/>
              <w:spacing w:before="0" w:after="283"/>
              <w:jc w:val="left"/>
              <w:rPr/>
            </w:pPr>
            <w:r>
              <w:rPr/>
              <w:t>Options outstanding at March 31, 2024</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30" w:name="xdx_988_eus-gaap--ShareBasedCompensation"/>
            <w:bookmarkEnd w:id="630"/>
          </w:p>
        </w:tc>
        <w:tc>
          <w:tcPr>
            <w:tcW w:w="1064" w:type="dxa"/>
            <w:tcBorders>
              <w:bottom w:val="double" w:sz="6" w:space="0" w:color="000000"/>
            </w:tcBorders>
            <w:shd w:fill="FFFFFF" w:val="clear"/>
            <w:tcMar>
              <w:bottom w:w="28" w:type="dxa"/>
            </w:tcMar>
            <w:vAlign w:val="center"/>
          </w:tcPr>
          <w:p>
            <w:pPr>
              <w:pStyle w:val="TableContents"/>
              <w:bidi w:val="0"/>
              <w:spacing w:before="0" w:after="283"/>
              <w:jc w:val="right"/>
              <w:rPr/>
            </w:pPr>
            <w:r>
              <w:rPr/>
              <w:t>1,689,900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40" w:type="dxa"/>
            <w:tcBorders/>
            <w:shd w:fill="CCEEFF" w:val="clear"/>
            <w:vAlign w:val="center"/>
          </w:tcPr>
          <w:p>
            <w:pPr>
              <w:pStyle w:val="TableContents"/>
              <w:bidi w:val="0"/>
              <w:spacing w:before="0" w:after="283"/>
              <w:jc w:val="left"/>
              <w:rPr/>
            </w:pPr>
            <w:r>
              <w:rPr/>
              <w:t>Options exercisable at March 31, 2024</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31" w:name="xdx_985_eus-gaap--ShareBasedCompensation"/>
            <w:bookmarkEnd w:id="631"/>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pPr>
            <w:r>
              <w:rPr/>
              <w:t>492,450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32" w:name="xdx_985_eus-gaap--ShareBasedCompensation"/>
            <w:bookmarkEnd w:id="632"/>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33" w:name="xdx_8A3_zjrTlXpKsiGj"/>
      <w:bookmarkEnd w:id="63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stock-based compensation expenses related to stock option were recorded in the financial statements as summarized below:</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34" w:name="xdx_89D_eus-gaap--ShareholdersEquityAndS"/>
      <w:bookmarkStart w:id="635" w:name="xdx_89D_eus-gaap--ShareholdersEquityAndS"/>
      <w:bookmarkEnd w:id="635"/>
    </w:p>
    <w:tbl>
      <w:tblPr>
        <w:tblW w:w="10205" w:type="dxa"/>
        <w:jc w:val="left"/>
        <w:tblInd w:w="0" w:type="dxa"/>
        <w:tblLayout w:type="fixed"/>
        <w:tblCellMar>
          <w:top w:w="0" w:type="dxa"/>
          <w:left w:w="0" w:type="dxa"/>
          <w:bottom w:w="0" w:type="dxa"/>
          <w:right w:w="0" w:type="dxa"/>
        </w:tblCellMar>
      </w:tblPr>
      <w:tblGrid>
        <w:gridCol w:w="4779"/>
        <w:gridCol w:w="60"/>
        <w:gridCol w:w="523"/>
        <w:gridCol w:w="1429"/>
        <w:gridCol w:w="65"/>
        <w:gridCol w:w="65"/>
        <w:gridCol w:w="745"/>
        <w:gridCol w:w="765"/>
        <w:gridCol w:w="60"/>
        <w:gridCol w:w="60"/>
        <w:gridCol w:w="423"/>
        <w:gridCol w:w="1154"/>
        <w:gridCol w:w="77"/>
      </w:tblGrid>
      <w:tr>
        <w:trPr/>
        <w:tc>
          <w:tcPr>
            <w:tcW w:w="4779" w:type="dxa"/>
            <w:tcBorders/>
            <w:vAlign w:val="center"/>
          </w:tcPr>
          <w:p>
            <w:pPr>
              <w:pStyle w:val="TableContents"/>
              <w:bidi w:val="0"/>
              <w:spacing w:before="0" w:after="283"/>
              <w:jc w:val="left"/>
              <w:rPr/>
            </w:pPr>
            <w:bookmarkStart w:id="636" w:name="xdx_8B3_zkD782Ya9dl2"/>
            <w:bookmarkEnd w:id="636"/>
            <w:r>
              <w:rPr/>
              <w:t>Schedule of non-cash stock-based compensation expenses</w:t>
            </w:r>
          </w:p>
        </w:tc>
        <w:tc>
          <w:tcPr>
            <w:tcW w:w="60" w:type="dxa"/>
            <w:tcBorders/>
            <w:vAlign w:val="center"/>
          </w:tcPr>
          <w:p>
            <w:pPr>
              <w:pStyle w:val="TableContents"/>
              <w:bidi w:val="0"/>
              <w:spacing w:before="0" w:after="283"/>
              <w:jc w:val="left"/>
              <w:rPr/>
            </w:pPr>
            <w:r>
              <w:rPr/>
              <w:t> </w:t>
            </w:r>
          </w:p>
        </w:tc>
        <w:tc>
          <w:tcPr>
            <w:tcW w:w="35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right w:val="single" w:sz="8" w:space="0" w:color="000000"/>
            </w:tcBorders>
            <w:tcMar>
              <w:right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r>
          </w:p>
        </w:tc>
        <w:tc>
          <w:tcPr>
            <w:tcW w:w="77" w:type="dxa"/>
            <w:tcBorders/>
            <w:vAlign w:val="center"/>
          </w:tcPr>
          <w:p>
            <w:pPr>
              <w:pStyle w:val="TableContents"/>
              <w:bidi w:val="0"/>
              <w:spacing w:before="0" w:after="283"/>
              <w:jc w:val="center"/>
              <w:rPr/>
            </w:pPr>
            <w:r>
              <w:rPr/>
              <w:t> </w:t>
            </w:r>
          </w:p>
        </w:tc>
      </w:tr>
      <w:tr>
        <w:trPr/>
        <w:tc>
          <w:tcPr>
            <w:tcW w:w="4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2024</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March 15, 2023</w:t>
              <w:br/>
              <w:t>to</w:t>
              <w:br/>
              <w:t>March 31,</w:t>
              <w:br/>
              <w:t>2023</w:t>
            </w:r>
          </w:p>
        </w:tc>
        <w:tc>
          <w:tcPr>
            <w:tcW w:w="60" w:type="dxa"/>
            <w:tcBorders>
              <w:right w:val="single" w:sz="8" w:space="0" w:color="000000"/>
            </w:tcBorders>
            <w:tcMar>
              <w:right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January 1, 2023</w:t>
              <w:br/>
              <w:t>to</w:t>
              <w:br/>
              <w:t>March 14,</w:t>
              <w:br/>
              <w:t>2023</w:t>
            </w:r>
          </w:p>
        </w:tc>
        <w:tc>
          <w:tcPr>
            <w:tcW w:w="77" w:type="dxa"/>
            <w:tcBorders/>
            <w:vAlign w:val="center"/>
          </w:tcPr>
          <w:p>
            <w:pPr>
              <w:pStyle w:val="TableContents"/>
              <w:bidi w:val="0"/>
              <w:spacing w:before="0" w:after="283"/>
              <w:jc w:val="center"/>
              <w:rPr/>
            </w:pPr>
            <w:r>
              <w:rPr/>
              <w:t> </w:t>
            </w:r>
          </w:p>
        </w:tc>
      </w:tr>
      <w:tr>
        <w:trPr/>
        <w:tc>
          <w:tcPr>
            <w:tcW w:w="4779"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pPr>
            <w:r>
              <w:rPr/>
              <w:t>$</w:t>
            </w:r>
            <w:bookmarkStart w:id="637" w:name="xdx_98B_eus-gaap--ShareBasedCompensation"/>
            <w:bookmarkEnd w:id="637"/>
          </w:p>
        </w:tc>
        <w:tc>
          <w:tcPr>
            <w:tcW w:w="1429" w:type="dxa"/>
            <w:tcBorders/>
            <w:shd w:fill="CCEEFF" w:val="clear"/>
            <w:vAlign w:val="center"/>
          </w:tcPr>
          <w:p>
            <w:pPr>
              <w:pStyle w:val="TableContents"/>
              <w:bidi w:val="0"/>
              <w:spacing w:before="0" w:after="283"/>
              <w:jc w:val="right"/>
              <w:rPr/>
            </w:pPr>
            <w:r>
              <w:rPr/>
              <w:t>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left"/>
              <w:rPr/>
            </w:pPr>
            <w:r>
              <w:rPr/>
              <w:t>$</w:t>
            </w:r>
            <w:bookmarkStart w:id="638" w:name="xdx_983_eus-gaap--ShareBasedCompensation"/>
            <w:bookmarkEnd w:id="638"/>
          </w:p>
        </w:tc>
        <w:tc>
          <w:tcPr>
            <w:tcW w:w="765" w:type="dxa"/>
            <w:tcBorders/>
            <w:shd w:fill="CCEEFF" w:val="clear"/>
            <w:vAlign w:val="center"/>
          </w:tcPr>
          <w:p>
            <w:pPr>
              <w:pStyle w:val="TableContents"/>
              <w:bidi w:val="0"/>
              <w:spacing w:before="0" w:after="283"/>
              <w:jc w:val="right"/>
              <w:rPr/>
            </w:pPr>
            <w:r>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w:t>
            </w:r>
            <w:bookmarkStart w:id="639" w:name="xdx_98A_eus-gaap--ShareBasedCompensation"/>
            <w:bookmarkEnd w:id="639"/>
          </w:p>
        </w:tc>
        <w:tc>
          <w:tcPr>
            <w:tcW w:w="115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779"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bookmarkStart w:id="640" w:name="xdx_98C_eus-gaap--ShareBasedCompensation"/>
            <w:bookmarkEnd w:id="640"/>
          </w:p>
        </w:tc>
        <w:tc>
          <w:tcPr>
            <w:tcW w:w="1429" w:type="dxa"/>
            <w:tcBorders/>
            <w:shd w:fill="FFFFFF" w:val="clear"/>
            <w:vAlign w:val="center"/>
          </w:tcPr>
          <w:p>
            <w:pPr>
              <w:pStyle w:val="TableContents"/>
              <w:bidi w:val="0"/>
              <w:spacing w:before="0" w:after="283"/>
              <w:jc w:val="right"/>
              <w:rPr/>
            </w:pPr>
            <w:r>
              <w:rPr/>
              <w:t>32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left"/>
              <w:rPr/>
            </w:pPr>
            <w:r>
              <w:rPr/>
              <w:t> </w:t>
            </w:r>
            <w:bookmarkStart w:id="641" w:name="xdx_984_eus-gaap--ShareBasedCompensation"/>
            <w:bookmarkEnd w:id="641"/>
          </w:p>
        </w:tc>
        <w:tc>
          <w:tcPr>
            <w:tcW w:w="765" w:type="dxa"/>
            <w:tcBorders/>
            <w:shd w:fill="FFFFFF" w:val="clear"/>
            <w:vAlign w:val="center"/>
          </w:tcPr>
          <w:p>
            <w:pPr>
              <w:pStyle w:val="TableContents"/>
              <w:bidi w:val="0"/>
              <w:spacing w:before="0" w:after="283"/>
              <w:jc w:val="right"/>
              <w:rPr/>
            </w:pPr>
            <w:r>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bookmarkStart w:id="642" w:name="xdx_987_eus-gaap--ShareBasedCompensation"/>
            <w:bookmarkEnd w:id="642"/>
          </w:p>
        </w:tc>
        <w:tc>
          <w:tcPr>
            <w:tcW w:w="115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779"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5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43" w:name="xdx_989_eus-gaap--ShareBasedCompensation"/>
            <w:bookmarkEnd w:id="643"/>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185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44" w:name="xdx_987_eus-gaap--ShareBasedCompensation"/>
            <w:bookmarkEnd w:id="644"/>
          </w:p>
        </w:tc>
        <w:tc>
          <w:tcPr>
            <w:tcW w:w="765"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45" w:name="xdx_981_eus-gaap--ShareBasedCompensation"/>
            <w:bookmarkEnd w:id="645"/>
          </w:p>
        </w:tc>
        <w:tc>
          <w:tcPr>
            <w:tcW w:w="1154" w:type="dxa"/>
            <w:tcBorders>
              <w:bottom w:val="single" w:sz="8" w:space="0" w:color="000000"/>
            </w:tcBorders>
            <w:shd w:fill="CCEEFF" w:val="clear"/>
            <w:tcMar>
              <w:bottom w:w="28" w:type="dxa"/>
            </w:tcMar>
            <w:vAlign w:val="center"/>
          </w:tcPr>
          <w:p>
            <w:pPr>
              <w:pStyle w:val="TableContents"/>
              <w:bidi w:val="0"/>
              <w:spacing w:before="0" w:after="283"/>
              <w:jc w:val="right"/>
              <w:rPr/>
            </w:pPr>
            <w:r>
              <w:rPr/>
              <w:t>158</w:t>
            </w:r>
          </w:p>
        </w:tc>
        <w:tc>
          <w:tcPr>
            <w:tcW w:w="77" w:type="dxa"/>
            <w:tcBorders/>
            <w:shd w:fill="CCEEFF" w:val="clear"/>
            <w:vAlign w:val="center"/>
          </w:tcPr>
          <w:p>
            <w:pPr>
              <w:pStyle w:val="TableContents"/>
              <w:bidi w:val="0"/>
              <w:spacing w:before="0" w:after="283"/>
              <w:jc w:val="left"/>
              <w:rPr/>
            </w:pPr>
            <w:r>
              <w:rPr/>
              <w:t> </w:t>
            </w:r>
          </w:p>
        </w:tc>
      </w:tr>
      <w:tr>
        <w:trPr/>
        <w:tc>
          <w:tcPr>
            <w:tcW w:w="4779" w:type="dxa"/>
            <w:tcBorders/>
            <w:shd w:fill="FFFFFF" w:val="clear"/>
            <w:vAlign w:val="center"/>
          </w:tcPr>
          <w:p>
            <w:pPr>
              <w:pStyle w:val="TableContents"/>
              <w:bidi w:val="0"/>
              <w:spacing w:before="0" w:after="283"/>
              <w:jc w:val="left"/>
              <w:rPr>
                <w:b/>
              </w:rPr>
            </w:pPr>
            <w:r>
              <w:rPr>
                <w:b/>
              </w:rPr>
              <w:t>Total non-cash stock compensation</w:t>
            </w:r>
          </w:p>
        </w:tc>
        <w:tc>
          <w:tcPr>
            <w:tcW w:w="60" w:type="dxa"/>
            <w:tcBorders/>
            <w:shd w:fill="FFFFFF" w:val="cle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646" w:name="xdx_98E_eus-gaap--ShareBasedCompensation"/>
            <w:bookmarkEnd w:id="646"/>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647" w:name="xdx_984_eus-gaap--ShareBasedCompensation"/>
            <w:bookmarkEnd w:id="647"/>
          </w:p>
        </w:tc>
        <w:tc>
          <w:tcPr>
            <w:tcW w:w="7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648" w:name="xdx_98E_eus-gaap--ShareBasedCompensation"/>
            <w:bookmarkEnd w:id="648"/>
          </w:p>
        </w:tc>
        <w:tc>
          <w:tcPr>
            <w:tcW w:w="115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158</w:t>
            </w:r>
          </w:p>
        </w:tc>
        <w:tc>
          <w:tcPr>
            <w:tcW w:w="77"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49" w:name="xdx_8A2_z0DgJTTzCxfe"/>
      <w:bookmarkEnd w:id="64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(Successor), the remaining unrecognized stock compensation expense totaled approximately $</w:t>
      </w:r>
      <w:bookmarkStart w:id="650" w:name="xdx_90F_eus-gaap--EmployeeServiceShareBa"/>
      <w:bookmarkEnd w:id="650"/>
      <w:r>
        <w:rPr>
          <w:rFonts w:ascii="Times New Roman;Times;Serif" w:hAnsi="Times New Roman;Times;Serif"/>
          <w:b w:val="false"/>
          <w:i w:val="false"/>
          <w:caps w:val="false"/>
          <w:smallCaps w:val="false"/>
          <w:sz w:val="20"/>
        </w:rPr>
        <w:t xml:space="preserve">500 thousand. This amount will be recognized as expense over the weighted average remaining term of </w:t>
      </w:r>
      <w:bookmarkStart w:id="651" w:name="xdx_90A_eus-gaap--ShareBasedCompensation"/>
      <w:bookmarkEnd w:id="651"/>
      <w:r>
        <w:rPr>
          <w:rFonts w:ascii="Times New Roman;Times;Serif" w:hAnsi="Times New Roman;Times;Serif"/>
          <w:b w:val="false"/>
          <w:i w:val="false"/>
          <w:caps w:val="false"/>
          <w:smallCaps w:val="false"/>
          <w:sz w:val="20"/>
        </w:rPr>
        <w:t>3.78 years.</w:t>
      </w:r>
    </w:p>
    <w:p>
      <w:pPr>
        <w:pStyle w:val="TextBody"/>
        <w:bidi w:val="0"/>
        <w:jc w:val="left"/>
        <w:rPr>
          <w:caps w:val="false"/>
          <w:smallCaps w:val="false"/>
        </w:rPr>
      </w:pPr>
      <w:bookmarkStart w:id="652" w:name="xdx_23B_z43tqjEr5N02"/>
      <w:bookmarkEnd w:id="65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jc w:val="left"/>
        <w:rPr>
          <w:caps w:val="false"/>
          <w:smallCaps w:val="false"/>
        </w:rPr>
      </w:pPr>
      <w:bookmarkStart w:id="653" w:name="xdx_23D_zeLArMPU6jY6"/>
      <w:bookmarkEnd w:id="653"/>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54" w:name="xdx_232_zv0NMRElTrO"/>
      <w:bookmarkEnd w:id="654"/>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employee option grant is estimated on the date of the grant using the Black-Scholes option-pricing model. Key weighted-average assumptions used to apply this pricing model for the three months ended March 31, 2024 (Successor) and the period from March 15, 2023 to December 31, 2023 (Successor) were as follows: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5" w:name="xdx_899_eus-gaap--ScheduleOfShareBasedPa"/>
      <w:bookmarkStart w:id="656" w:name="xdx_899_eus-gaap--ScheduleOfShareBasedPa"/>
      <w:bookmarkEnd w:id="656"/>
    </w:p>
    <w:tbl>
      <w:tblPr>
        <w:tblW w:w="5485" w:type="dxa"/>
        <w:jc w:val="left"/>
        <w:tblInd w:w="0" w:type="dxa"/>
        <w:tblLayout w:type="fixed"/>
        <w:tblCellMar>
          <w:top w:w="0" w:type="dxa"/>
          <w:left w:w="0" w:type="dxa"/>
          <w:bottom w:w="0" w:type="dxa"/>
          <w:right w:w="0" w:type="dxa"/>
        </w:tblCellMar>
      </w:tblPr>
      <w:tblGrid>
        <w:gridCol w:w="3695"/>
        <w:gridCol w:w="60"/>
        <w:gridCol w:w="1655"/>
        <w:gridCol w:w="75"/>
      </w:tblGrid>
      <w:tr>
        <w:trPr/>
        <w:tc>
          <w:tcPr>
            <w:tcW w:w="3695" w:type="dxa"/>
            <w:tcBorders/>
            <w:shd w:fill="FFFFFF" w:val="clear"/>
            <w:vAlign w:val="center"/>
          </w:tcPr>
          <w:p>
            <w:pPr>
              <w:pStyle w:val="TableContents"/>
              <w:bidi w:val="0"/>
              <w:spacing w:before="0" w:after="283"/>
              <w:ind w:left="0" w:right="0" w:hanging="180"/>
              <w:jc w:val="left"/>
              <w:rPr/>
            </w:pPr>
            <w:bookmarkStart w:id="657" w:name="xdx_8B2_z1CBtxTWbCj4"/>
            <w:bookmarkEnd w:id="657"/>
            <w:r>
              <w:rPr/>
              <w:t>Schedule of assumptions used</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bookmarkStart w:id="658" w:name="xdx_90F_eus-gaap--ShareBasedCompensation"/>
            <w:bookmarkEnd w:id="658"/>
            <w:r>
              <w:rPr/>
              <w:t xml:space="preserve">3.67% – </w:t>
            </w:r>
            <w:bookmarkStart w:id="659" w:name="xdx_90A_eus-gaap--ShareBasedCompensation"/>
            <w:bookmarkEnd w:id="659"/>
            <w:r>
              <w:rPr/>
              <w:t>4.03%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pPr>
            <w:r>
              <w:rPr/>
              <w:t>Expected life of option grants</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center"/>
              <w:rPr/>
            </w:pPr>
            <w:bookmarkStart w:id="660" w:name="xdx_90E_eus-gaap--SharebasedCompensation"/>
            <w:bookmarkEnd w:id="660"/>
            <w:r>
              <w:rPr/>
              <w:t xml:space="preserve">5.75 – </w:t>
            </w:r>
            <w:bookmarkStart w:id="661" w:name="xdx_907_eus-gaap--SharebasedCompensation"/>
            <w:bookmarkEnd w:id="661"/>
            <w:r>
              <w:rPr/>
              <w:t>6.25 years</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pPr>
            <w:r>
              <w:rPr/>
              <w:t>Expected volatility of underlying stock</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center"/>
              <w:rPr/>
            </w:pPr>
            <w:bookmarkStart w:id="662" w:name="xdx_90C_eus-gaap--ShareBasedCompensation"/>
            <w:bookmarkEnd w:id="662"/>
            <w:r>
              <w:rPr/>
              <w:t>61.65%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pPr>
            <w:r>
              <w:rPr/>
              <w:t>Dividends assumption</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center"/>
              <w:rPr/>
            </w:pPr>
            <w:r>
              <w:rPr/>
              <w:t>$</w:t>
            </w:r>
            <w:bookmarkStart w:id="663" w:name="xdx_90C_eus-gaap--ShareBasedCompensation"/>
            <w:bookmarkEnd w:id="663"/>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64" w:name="xdx_8A0_zGsDqZQBXU6c"/>
      <w:bookmarkEnd w:id="664"/>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2024, a total of </w:t>
      </w:r>
      <w:bookmarkStart w:id="665" w:name="xdx_909_eus-gaap--StockIssuedDuringPerio"/>
      <w:bookmarkEnd w:id="665"/>
      <w:r>
        <w:rPr>
          <w:rFonts w:ascii="Times New Roman;Times;Serif" w:hAnsi="Times New Roman;Times;Serif"/>
          <w:b w:val="false"/>
          <w:i w:val="false"/>
          <w:caps w:val="false"/>
          <w:smallCaps w:val="false"/>
          <w:sz w:val="20"/>
        </w:rPr>
        <w:t>47,000 restricted stock units of the Company’s common stock were granted to employees of the Company under the Incentive Plan at various 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as of the various grant dates was determined to be $</w:t>
      </w:r>
      <w:bookmarkStart w:id="666" w:name="xdx_903_eus-gaap--ShareBasedCompensation"/>
      <w:bookmarkEnd w:id="666"/>
      <w:r>
        <w:rPr>
          <w:rFonts w:ascii="Times New Roman;Times;Serif" w:hAnsi="Times New Roman;Times;Serif"/>
          <w:b w:val="false"/>
          <w:i w:val="false"/>
          <w:caps w:val="false"/>
          <w:smallCaps w:val="false"/>
          <w:sz w:val="20"/>
        </w:rPr>
        <w:t>1.25 to $</w:t>
      </w:r>
      <w:bookmarkStart w:id="667" w:name="xdx_906_eus-gaap--ShareBasedCompensation"/>
      <w:bookmarkEnd w:id="667"/>
      <w:r>
        <w:rPr>
          <w:rFonts w:ascii="Times New Roman;Times;Serif" w:hAnsi="Times New Roman;Times;Serif"/>
          <w:b w:val="false"/>
          <w:i w:val="false"/>
          <w:caps w:val="false"/>
          <w:smallCaps w:val="false"/>
          <w:sz w:val="20"/>
        </w:rPr>
        <w:t>1.38 per restricted stock unit, for a weighted average fair value of $</w:t>
      </w:r>
      <w:bookmarkStart w:id="668" w:name="xdx_90B_eus-gaap--SharebasedCompensation"/>
      <w:bookmarkEnd w:id="668"/>
      <w:r>
        <w:rPr>
          <w:rFonts w:ascii="Times New Roman;Times;Serif" w:hAnsi="Times New Roman;Times;Serif"/>
          <w:b w:val="false"/>
          <w:i w:val="false"/>
          <w:caps w:val="false"/>
          <w:smallCaps w:val="false"/>
          <w:sz w:val="20"/>
        </w:rPr>
        <w:t>1.29 per restricted stock unit. There was no other activity related to restricted stock units for the three months ended March 31, 2024.</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stock-based compensation expenses related to restricted stock units for the three months ended March 31, 2024 were recorded in the financial statements as summarized below:</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9" w:name="xdx_895_eus-gaap--ScheduleOfDeferredComp"/>
      <w:bookmarkStart w:id="670" w:name="xdx_895_eus-gaap--ScheduleOfDeferredComp"/>
      <w:bookmarkEnd w:id="670"/>
    </w:p>
    <w:tbl>
      <w:tblPr>
        <w:tblW w:w="10205" w:type="dxa"/>
        <w:jc w:val="left"/>
        <w:tblInd w:w="0" w:type="dxa"/>
        <w:tblLayout w:type="fixed"/>
        <w:tblCellMar>
          <w:top w:w="0" w:type="dxa"/>
          <w:left w:w="0" w:type="dxa"/>
          <w:bottom w:w="0" w:type="dxa"/>
          <w:right w:w="0" w:type="dxa"/>
        </w:tblCellMar>
      </w:tblPr>
      <w:tblGrid>
        <w:gridCol w:w="8042"/>
        <w:gridCol w:w="60"/>
        <w:gridCol w:w="493"/>
        <w:gridCol w:w="1341"/>
        <w:gridCol w:w="269"/>
      </w:tblGrid>
      <w:tr>
        <w:trPr/>
        <w:tc>
          <w:tcPr>
            <w:tcW w:w="8042" w:type="dxa"/>
            <w:tcBorders/>
            <w:shd w:fill="FFFFFF" w:val="clear"/>
            <w:vAlign w:val="center"/>
          </w:tcPr>
          <w:p>
            <w:pPr>
              <w:pStyle w:val="TableContents"/>
              <w:bidi w:val="0"/>
              <w:spacing w:before="0" w:after="283"/>
              <w:jc w:val="left"/>
              <w:rPr/>
            </w:pPr>
            <w:bookmarkStart w:id="671" w:name="xdx_8B8_zadqxP03qfgd"/>
            <w:bookmarkEnd w:id="671"/>
            <w:r>
              <w:rPr/>
              <w:t>Schedule of non-cash stock-based compensation expenses related to restricted stock units</w:t>
            </w:r>
          </w:p>
        </w:tc>
        <w:tc>
          <w:tcPr>
            <w:tcW w:w="60"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 </w:t>
            </w:r>
          </w:p>
        </w:tc>
        <w:tc>
          <w:tcPr>
            <w:tcW w:w="269" w:type="dxa"/>
            <w:tcBorders/>
            <w:shd w:fill="FFFFFF" w:val="clear"/>
            <w:vAlign w:val="center"/>
          </w:tcPr>
          <w:p>
            <w:pPr>
              <w:pStyle w:val="TableContents"/>
              <w:bidi w:val="0"/>
              <w:spacing w:before="0" w:after="283"/>
              <w:jc w:val="left"/>
              <w:rPr/>
            </w:pPr>
            <w:r>
              <w:rPr/>
              <w:t> </w:t>
            </w:r>
          </w:p>
        </w:tc>
      </w:tr>
      <w:tr>
        <w:trPr/>
        <w:tc>
          <w:tcPr>
            <w:tcW w:w="80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2024</w:t>
            </w:r>
          </w:p>
        </w:tc>
      </w:tr>
      <w:tr>
        <w:trPr/>
        <w:tc>
          <w:tcPr>
            <w:tcW w:w="8042"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bookmarkStart w:id="672" w:name="xdx_98B_eus-gaap--ShareBasedCompensation"/>
            <w:bookmarkEnd w:id="672"/>
          </w:p>
        </w:tc>
        <w:tc>
          <w:tcPr>
            <w:tcW w:w="1341" w:type="dxa"/>
            <w:tcBorders/>
            <w:shd w:fill="CCEEFF" w:val="clear"/>
            <w:vAlign w:val="center"/>
          </w:tcPr>
          <w:p>
            <w:pPr>
              <w:pStyle w:val="TableContents"/>
              <w:bidi w:val="0"/>
              <w:spacing w:before="0" w:after="283"/>
              <w:jc w:val="right"/>
              <w:rPr/>
            </w:pPr>
            <w:r>
              <w:rPr/>
              <w:t>98</w:t>
            </w:r>
          </w:p>
        </w:tc>
        <w:tc>
          <w:tcPr>
            <w:tcW w:w="269"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bookmarkStart w:id="673" w:name="xdx_985_eus-gaap--ShareBasedCompensation"/>
            <w:bookmarkEnd w:id="673"/>
          </w:p>
        </w:tc>
        <w:tc>
          <w:tcPr>
            <w:tcW w:w="1341" w:type="dxa"/>
            <w:tcBorders/>
            <w:shd w:fill="FFFFFF" w:val="clear"/>
            <w:vAlign w:val="center"/>
          </w:tcPr>
          <w:p>
            <w:pPr>
              <w:pStyle w:val="TableContents"/>
              <w:bidi w:val="0"/>
              <w:spacing w:before="0" w:after="283"/>
              <w:jc w:val="right"/>
              <w:rPr/>
            </w:pPr>
            <w:r>
              <w:rPr/>
              <w:t>51</w:t>
            </w:r>
          </w:p>
        </w:tc>
        <w:tc>
          <w:tcPr>
            <w:tcW w:w="269"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4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74" w:name="xdx_98B_eus-gaap--ShareBasedCompensation"/>
            <w:bookmarkEnd w:id="674"/>
          </w:p>
        </w:tc>
        <w:tc>
          <w:tcPr>
            <w:tcW w:w="1341" w:type="dxa"/>
            <w:tcBorders>
              <w:bottom w:val="single" w:sz="8" w:space="0" w:color="000000"/>
            </w:tcBorders>
            <w:shd w:fill="CCEEFF" w:val="clear"/>
            <w:tcMar>
              <w:bottom w:w="28" w:type="dxa"/>
            </w:tcMar>
            <w:vAlign w:val="center"/>
          </w:tcPr>
          <w:p>
            <w:pPr>
              <w:pStyle w:val="TableContents"/>
              <w:bidi w:val="0"/>
              <w:spacing w:before="0" w:after="283"/>
              <w:jc w:val="right"/>
              <w:rPr/>
            </w:pPr>
            <w:r>
              <w:rPr/>
              <w:t>232</w:t>
            </w:r>
          </w:p>
        </w:tc>
        <w:tc>
          <w:tcPr>
            <w:tcW w:w="269"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b/>
              </w:rPr>
            </w:pPr>
            <w:r>
              <w:rPr>
                <w:b/>
              </w:rPr>
              <w:t>Total non-cash stock compensation</w:t>
            </w:r>
          </w:p>
        </w:tc>
        <w:tc>
          <w:tcPr>
            <w:tcW w:w="60" w:type="dxa"/>
            <w:tcBorders/>
            <w:shd w:fill="FFFFFF" w:val="clear"/>
            <w:vAlign w:val="center"/>
          </w:tcPr>
          <w:p>
            <w:pPr>
              <w:pStyle w:val="TableContents"/>
              <w:bidi w:val="0"/>
              <w:spacing w:before="0" w:after="283"/>
              <w:jc w:val="left"/>
              <w:rPr/>
            </w:pPr>
            <w:r>
              <w:rPr/>
              <w:t> </w:t>
            </w:r>
          </w:p>
        </w:tc>
        <w:tc>
          <w:tcPr>
            <w:tcW w:w="49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675" w:name="xdx_988_eus-gaap--ShareBasedCompensation"/>
            <w:bookmarkEnd w:id="675"/>
          </w:p>
        </w:tc>
        <w:tc>
          <w:tcPr>
            <w:tcW w:w="13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381</w:t>
            </w:r>
          </w:p>
        </w:tc>
        <w:tc>
          <w:tcPr>
            <w:tcW w:w="269"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76" w:name="xdx_8A4_zWsOoe1MAso6"/>
      <w:bookmarkEnd w:id="676"/>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non-cash stock-based compensation expenses related restricted stock units for the period from March 15, 2023 to March 31, 2023 (Successor) and period from January 1, 2023 to March 14, 2023 (Predecessor).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(Successor), the Company has approximately $</w:t>
      </w:r>
      <w:bookmarkStart w:id="677" w:name="xdx_90A_eus-gaap--EmployeeServiceShareBa"/>
      <w:bookmarkEnd w:id="677"/>
      <w:r>
        <w:rPr>
          <w:rFonts w:ascii="Times New Roman;Times;Serif" w:hAnsi="Times New Roman;Times;Serif"/>
          <w:b w:val="false"/>
          <w:i w:val="false"/>
          <w:caps w:val="false"/>
          <w:smallCaps w:val="false"/>
          <w:sz w:val="20"/>
        </w:rPr>
        <w:t xml:space="preserve">1,454 thousand of unrecognized restricted stock unit compensation to be expensed over a weighted average period of </w:t>
      </w:r>
      <w:bookmarkStart w:id="678" w:name="xdx_90A_eus-gaap--ShareBasedCompensation"/>
      <w:bookmarkEnd w:id="678"/>
      <w:r>
        <w:rPr>
          <w:rFonts w:ascii="Times New Roman;Times;Serif" w:hAnsi="Times New Roman;Times;Serif"/>
          <w:b w:val="false"/>
          <w:i w:val="false"/>
          <w:caps w:val="false"/>
          <w:smallCaps w:val="false"/>
          <w:sz w:val="20"/>
        </w:rPr>
        <w:t>1.76 years.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79" w:name="xdx_80E_eus-gaap--IncomeTaxDisclosureTex"/>
      <w:bookmarkEnd w:id="679"/>
      <w:r>
        <w:rPr>
          <w:rFonts w:ascii="Times New Roman;Times;Serif" w:hAnsi="Times New Roman;Times;Serif"/>
          <w:b/>
          <w:i w:val="false"/>
          <w:caps w:val="false"/>
          <w:smallCaps w:val="false"/>
          <w:sz w:val="20"/>
        </w:rPr>
        <w:t xml:space="preserve">NOTE 13 – </w:t>
      </w:r>
      <w:bookmarkStart w:id="680" w:name="xdx_82E_zMZlpkxlRq9a"/>
      <w:bookmarkEnd w:id="680"/>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benefit of approximately $</w:t>
      </w:r>
      <w:bookmarkStart w:id="681" w:name="xdx_90C_ecustom--IncomeTaxBenefitprovisi"/>
      <w:bookmarkEnd w:id="681"/>
      <w:r>
        <w:rPr>
          <w:rFonts w:ascii="Times New Roman;Times;Serif" w:hAnsi="Times New Roman;Times;Serif"/>
          <w:b w:val="false"/>
          <w:i w:val="false"/>
          <w:caps w:val="false"/>
          <w:smallCaps w:val="false"/>
          <w:sz w:val="20"/>
        </w:rPr>
        <w:t>207 thousand and $</w:t>
      </w:r>
      <w:bookmarkStart w:id="682" w:name="xdx_903_ecustom--IncomeTaxBenefitprovisi"/>
      <w:bookmarkEnd w:id="682"/>
      <w:r>
        <w:rPr>
          <w:rFonts w:ascii="Times New Roman;Times;Serif" w:hAnsi="Times New Roman;Times;Serif"/>
          <w:b w:val="false"/>
          <w:i w:val="false"/>
          <w:caps w:val="false"/>
          <w:smallCaps w:val="false"/>
          <w:sz w:val="20"/>
        </w:rPr>
        <w:t xml:space="preserve">1,560 thousand for the three months ended March 31, 2024 (Successor) and for the period from March 15, 2023 to March 31, 2023 (Successor), respectively. The Company did </w:t>
      </w:r>
      <w:bookmarkStart w:id="683" w:name="xdx_901_ecustom--IncomeTaxBenefitprovisi"/>
      <w:bookmarkEnd w:id="683"/>
      <w:r>
        <w:rPr>
          <w:rFonts w:ascii="Times New Roman;Times;Serif" w:hAnsi="Times New Roman;Times;Serif"/>
          <w:b w:val="false"/>
          <w:i w:val="false"/>
          <w:caps w:val="false"/>
          <w:smallCaps w:val="false"/>
          <w:sz w:val="20"/>
        </w:rPr>
        <w:t>not incur income tax expense for the period from January 1, 2023 to March 14, 2023 (Predecessor).</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tax rate for three months ended March 31, 2024 (Successor) and for the period from March 15, 2023 to March 31, 2023 (Successor) was </w:t>
      </w:r>
      <w:bookmarkStart w:id="684" w:name="xdx_909_eus-gaap--EffectiveIncomeTaxRate"/>
      <w:bookmarkEnd w:id="684"/>
      <w:r>
        <w:rPr>
          <w:rFonts w:ascii="Times New Roman;Times;Serif" w:hAnsi="Times New Roman;Times;Serif"/>
          <w:b w:val="false"/>
          <w:i w:val="false"/>
          <w:caps w:val="false"/>
          <w:smallCaps w:val="false"/>
          <w:sz w:val="20"/>
        </w:rPr>
        <w:t xml:space="preserve">3.85% and </w:t>
      </w:r>
      <w:bookmarkStart w:id="685" w:name="xdx_90C_eus-gaap--EffectiveIncomeTaxRate"/>
      <w:bookmarkEnd w:id="685"/>
      <w:r>
        <w:rPr>
          <w:rFonts w:ascii="Times New Roman;Times;Serif" w:hAnsi="Times New Roman;Times;Serif"/>
          <w:b w:val="false"/>
          <w:i w:val="false"/>
          <w:caps w:val="false"/>
          <w:smallCaps w:val="false"/>
          <w:sz w:val="20"/>
        </w:rPr>
        <w:t>(164.0)%, respectively. The effective tax rate differs from the U.S. Federal statutory rate primarily due to recording a valuation allowance against deferred tax assets in the foreign jurisdictions and the significant permanent differences including impairment of goodwill and change in fair value of derivative warrant liabilities.</w:t>
      </w:r>
    </w:p>
    <w:p>
      <w:pPr>
        <w:pStyle w:val="TextBody"/>
        <w:bidi w:val="0"/>
        <w:jc w:val="left"/>
        <w:rPr>
          <w:caps w:val="false"/>
          <w:smallCaps w:val="false"/>
        </w:rPr>
      </w:pPr>
      <w:bookmarkStart w:id="686" w:name="xdx_232_z9OJ7srlKDHe"/>
      <w:bookmarkEnd w:id="686"/>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bidi w:val="0"/>
        <w:jc w:val="left"/>
        <w:rPr>
          <w:caps w:val="false"/>
          <w:smallCaps w:val="false"/>
        </w:rPr>
      </w:pPr>
      <w:bookmarkStart w:id="687" w:name="xdx_23C_zWRUVyFnLZWb"/>
      <w:bookmarkEnd w:id="687"/>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88" w:name="xdx_235_z02kXn0D3No4"/>
      <w:bookmarkEnd w:id="688"/>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89" w:name="xdx_807_eus-gaap--ConcentrationRiskDiscl"/>
      <w:bookmarkEnd w:id="689"/>
      <w:r>
        <w:rPr>
          <w:rFonts w:ascii="Times New Roman;Times;Serif" w:hAnsi="Times New Roman;Times;Serif"/>
          <w:b/>
          <w:i w:val="false"/>
          <w:caps w:val="false"/>
          <w:smallCaps w:val="false"/>
          <w:sz w:val="20"/>
        </w:rPr>
        <w:t xml:space="preserve">NOTE 14 – </w:t>
      </w:r>
      <w:bookmarkStart w:id="690" w:name="xdx_822_zHEJ3jYIDFd6"/>
      <w:bookmarkEnd w:id="690"/>
      <w:r>
        <w:rPr>
          <w:rFonts w:ascii="Times New Roman;Times;Serif" w:hAnsi="Times New Roman;Times;Serif"/>
          <w:b/>
          <w:i w:val="false"/>
          <w:caps w:val="false"/>
          <w:smallCaps w:val="false"/>
          <w:sz w:val="20"/>
        </w:rPr>
        <w:t>Credit Risk and Concentrations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subject the Company to credit risk consist principally of trade accounts receivable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customers and, based upon factors surrounding the credit risk of its customers, establishes an allowance for credit losses and, consequently, believes that its accounts receivable credit risk exposure beyond such allowances is limited.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deposits with financial institutions, which, from time to time, may exceed federally insured limits. Any loss incurred or a lack of access to such funds could have a significant adverse impact on the Company’s financial condition, results of operations, and cash flows. Cash is also maintained at foreign financial institutions for its Canadian and Philippines subsidiaries and its majority-owned India subsidiary. Cash in foreign financial institutions as of March 31, 2024 (Successor) was $</w:t>
      </w:r>
      <w:bookmarkStart w:id="691" w:name="xdx_90D_eus-gaap--Cash_iI_c20240331__srt"/>
      <w:bookmarkEnd w:id="691"/>
      <w:r>
        <w:rPr>
          <w:rFonts w:ascii="Times New Roman;Times;Serif" w:hAnsi="Times New Roman;Times;Serif"/>
          <w:b w:val="false"/>
          <w:i w:val="false"/>
          <w:caps w:val="false"/>
          <w:smallCaps w:val="false"/>
          <w:sz w:val="20"/>
        </w:rPr>
        <w:t>326 thousand. Cash in foreign financial institutions as of December 31, 2023 (Successor) was $</w:t>
      </w:r>
      <w:bookmarkStart w:id="692" w:name="xdx_902_eus-gaap--Cash_iI_c20231231__srt"/>
      <w:bookmarkEnd w:id="692"/>
      <w:r>
        <w:rPr>
          <w:rFonts w:ascii="Times New Roman;Times;Serif" w:hAnsi="Times New Roman;Times;Serif"/>
          <w:b w:val="false"/>
          <w:i w:val="false"/>
          <w:caps w:val="false"/>
          <w:smallCaps w:val="false"/>
          <w:sz w:val="20"/>
        </w:rPr>
        <w:t>300 thousand. The Company has not experienced any losses and believes it is not exposed to any significant credit risk from cash for the three months ended March 31, 2024 (Successor), for the period from March 15, 2023 to March 31, 2023 (Successor), and for the period from January 1, 2023 to March 14, 2023 (Predecessor). However, any loss incurred or lack of access to such funds could have a significant impact on the Company’s financial condition, results of operations,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93" w:name="xdx_80F_ecustom--ForeignOperationsTextBl"/>
      <w:bookmarkEnd w:id="693"/>
      <w:r>
        <w:rPr>
          <w:rFonts w:ascii="Times New Roman;Times;Serif" w:hAnsi="Times New Roman;Times;Serif"/>
          <w:b/>
          <w:i w:val="false"/>
          <w:caps w:val="false"/>
          <w:smallCaps w:val="false"/>
          <w:sz w:val="20"/>
        </w:rPr>
        <w:t xml:space="preserve">NOTE 15 – </w:t>
      </w:r>
      <w:bookmarkStart w:id="694" w:name="xdx_82D_zgd0Vl2i1bJa"/>
      <w:bookmarkEnd w:id="694"/>
      <w:r>
        <w:rPr>
          <w:rFonts w:ascii="Times New Roman;Times;Serif" w:hAnsi="Times New Roman;Times;Serif"/>
          <w:b/>
          <w:i w:val="false"/>
          <w:caps w:val="false"/>
          <w:smallCaps w:val="false"/>
          <w:sz w:val="20"/>
        </w:rPr>
        <w:t>Foreign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located primarily in the United States, Canada, and the Philippines. Revenues by geographic area are attributed by country of domicile of the Company’s subsidiaries. The financial data by geographic area are as follows (in thousands):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95" w:name="xdx_89F_eus-gaap--ScheduleOfQuarterlyFin"/>
      <w:bookmarkStart w:id="696" w:name="xdx_89F_eus-gaap--ScheduleOfQuarterlyFin"/>
      <w:bookmarkEnd w:id="696"/>
    </w:p>
    <w:tbl>
      <w:tblPr>
        <w:tblW w:w="10205" w:type="dxa"/>
        <w:jc w:val="left"/>
        <w:tblInd w:w="0" w:type="dxa"/>
        <w:tblLayout w:type="fixed"/>
        <w:tblCellMar>
          <w:top w:w="0" w:type="dxa"/>
          <w:left w:w="0" w:type="dxa"/>
          <w:bottom w:w="0" w:type="dxa"/>
          <w:right w:w="0" w:type="dxa"/>
        </w:tblCellMar>
      </w:tblPr>
      <w:tblGrid>
        <w:gridCol w:w="4555"/>
        <w:gridCol w:w="60"/>
        <w:gridCol w:w="140"/>
        <w:gridCol w:w="680"/>
        <w:gridCol w:w="95"/>
        <w:gridCol w:w="60"/>
        <w:gridCol w:w="149"/>
        <w:gridCol w:w="681"/>
        <w:gridCol w:w="95"/>
        <w:gridCol w:w="60"/>
        <w:gridCol w:w="308"/>
        <w:gridCol w:w="837"/>
        <w:gridCol w:w="60"/>
        <w:gridCol w:w="60"/>
        <w:gridCol w:w="233"/>
        <w:gridCol w:w="1062"/>
        <w:gridCol w:w="95"/>
        <w:gridCol w:w="60"/>
        <w:gridCol w:w="140"/>
        <w:gridCol w:w="680"/>
        <w:gridCol w:w="95"/>
      </w:tblGrid>
      <w:tr>
        <w:trPr/>
        <w:tc>
          <w:tcPr>
            <w:tcW w:w="4555" w:type="dxa"/>
            <w:tcBorders/>
            <w:vAlign w:val="center"/>
          </w:tcPr>
          <w:p>
            <w:pPr>
              <w:pStyle w:val="TableContents"/>
              <w:bidi w:val="0"/>
              <w:spacing w:before="0" w:after="283"/>
              <w:ind w:left="0" w:right="0" w:hanging="180"/>
              <w:jc w:val="left"/>
              <w:rPr/>
            </w:pPr>
            <w:r>
              <w:rPr/>
              <w:t> </w:t>
            </w:r>
            <w:bookmarkStart w:id="697" w:name="xdx_8B2_zzpygbWCr4e8"/>
            <w:bookmarkEnd w:id="697"/>
            <w:r>
              <w:rPr/>
              <w:t>Schedule of financial data by geographic area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4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w:t>
              <w:br/>
              <w:t>States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Canada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Philippines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ind w:left="0" w:right="0" w:hanging="180"/>
              <w:jc w:val="center"/>
              <w:rPr/>
            </w:pPr>
            <w:r>
              <w:rPr/>
              <w:t> </w:t>
            </w:r>
          </w:p>
        </w:tc>
      </w:tr>
      <w:tr>
        <w:trPr/>
        <w:tc>
          <w:tcPr>
            <w:tcW w:w="4555" w:type="dxa"/>
            <w:tcBorders/>
            <w:shd w:fill="CCEEFF" w:val="clear"/>
            <w:vAlign w:val="center"/>
          </w:tcPr>
          <w:p>
            <w:pPr>
              <w:pStyle w:val="TableContents"/>
              <w:bidi w:val="0"/>
              <w:spacing w:before="0" w:after="283"/>
              <w:jc w:val="left"/>
              <w:rPr>
                <w:b/>
              </w:rPr>
            </w:pPr>
            <w:r>
              <w:rPr>
                <w:b/>
                <w:u w:val="single"/>
              </w:rPr>
              <w:t>For the Three Months Ended March 31, 2024 (Successor)</w:t>
            </w: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Revenues by geographic area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698" w:name="xdx_98D_eus-gaap--Revenues_c20240101__20"/>
            <w:bookmarkEnd w:id="698"/>
          </w:p>
        </w:tc>
        <w:tc>
          <w:tcPr>
            <w:tcW w:w="680" w:type="dxa"/>
            <w:tcBorders/>
            <w:shd w:fill="FFFFFF" w:val="clear"/>
            <w:vAlign w:val="center"/>
          </w:tcPr>
          <w:p>
            <w:pPr>
              <w:pStyle w:val="TableContents"/>
              <w:bidi w:val="0"/>
              <w:spacing w:before="0" w:after="283"/>
              <w:jc w:val="right"/>
              <w:rPr/>
            </w:pPr>
            <w:r>
              <w:rPr/>
              <w:t>1,667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bookmarkStart w:id="699" w:name="xdx_98B_eus-gaap--Revenues_c20240101__20"/>
            <w:bookmarkEnd w:id="699"/>
          </w:p>
        </w:tc>
        <w:tc>
          <w:tcPr>
            <w:tcW w:w="681" w:type="dxa"/>
            <w:tcBorders/>
            <w:shd w:fill="FFFFFF" w:val="clear"/>
            <w:vAlign w:val="center"/>
          </w:tcPr>
          <w:p>
            <w:pPr>
              <w:pStyle w:val="TableContents"/>
              <w:bidi w:val="0"/>
              <w:spacing w:before="0" w:after="283"/>
              <w:jc w:val="right"/>
              <w:rPr/>
            </w:pPr>
            <w:r>
              <w:rPr/>
              <w:t>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bookmarkStart w:id="700" w:name="xdx_98E_eus-gaap--Revenues_c20240101__20"/>
            <w:bookmarkEnd w:id="700"/>
          </w:p>
        </w:tc>
        <w:tc>
          <w:tcPr>
            <w:tcW w:w="837" w:type="dxa"/>
            <w:tcBorders/>
            <w:shd w:fill="FFFFFF" w:val="clear"/>
            <w:vAlign w:val="center"/>
          </w:tcPr>
          <w:p>
            <w:pPr>
              <w:pStyle w:val="TableContents"/>
              <w:bidi w:val="0"/>
              <w:spacing w:before="0" w:after="283"/>
              <w:jc w:val="right"/>
              <w:rPr/>
            </w:pPr>
            <w:r>
              <w:rPr/>
              <w:t>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bookmarkStart w:id="701" w:name="xdx_987_eus-gaap--Revenues_c20240101__20"/>
            <w:bookmarkEnd w:id="701"/>
          </w:p>
        </w:tc>
        <w:tc>
          <w:tcPr>
            <w:tcW w:w="1062" w:type="dxa"/>
            <w:tcBorders/>
            <w:shd w:fill="FFFFFF" w:val="cle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02" w:name="xdx_987_eus-gaap--Revenues_pn3n3_c202401"/>
            <w:bookmarkEnd w:id="702"/>
          </w:p>
        </w:tc>
        <w:tc>
          <w:tcPr>
            <w:tcW w:w="680" w:type="dxa"/>
            <w:tcBorders/>
            <w:shd w:fill="FFFFFF" w:val="clear"/>
            <w:vAlign w:val="center"/>
          </w:tcPr>
          <w:p>
            <w:pPr>
              <w:pStyle w:val="TableContents"/>
              <w:bidi w:val="0"/>
              <w:spacing w:before="0" w:after="283"/>
              <w:jc w:val="right"/>
              <w:rPr/>
            </w:pPr>
            <w:r>
              <w:rPr/>
              <w:t>1,818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Operating income (loss) by geographic area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03" w:name="xdx_983_eus-gaap--OperatingIncomeLoss_c2"/>
            <w:bookmarkEnd w:id="703"/>
          </w:p>
        </w:tc>
        <w:tc>
          <w:tcPr>
            <w:tcW w:w="680" w:type="dxa"/>
            <w:tcBorders/>
            <w:shd w:fill="CCEEFF" w:val="clear"/>
            <w:vAlign w:val="center"/>
          </w:tcPr>
          <w:p>
            <w:pPr>
              <w:pStyle w:val="TableContents"/>
              <w:bidi w:val="0"/>
              <w:spacing w:before="0" w:after="283"/>
              <w:jc w:val="right"/>
              <w:rPr/>
            </w:pPr>
            <w:r>
              <w:rPr/>
              <w:t>(3,000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bookmarkStart w:id="704" w:name="xdx_981_eus-gaap--OperatingIncomeLoss_c2"/>
            <w:bookmarkEnd w:id="704"/>
          </w:p>
        </w:tc>
        <w:tc>
          <w:tcPr>
            <w:tcW w:w="681" w:type="dxa"/>
            <w:tcBorders/>
            <w:shd w:fill="CCEEFF" w:val="clear"/>
            <w:vAlign w:val="center"/>
          </w:tcPr>
          <w:p>
            <w:pPr>
              <w:pStyle w:val="TableContents"/>
              <w:bidi w:val="0"/>
              <w:spacing w:before="0" w:after="283"/>
              <w:jc w:val="right"/>
              <w:rPr/>
            </w:pPr>
            <w:r>
              <w:rPr/>
              <w:t>(602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bookmarkStart w:id="705" w:name="xdx_984_eus-gaap--OperatingIncomeLoss_c2"/>
            <w:bookmarkEnd w:id="705"/>
          </w:p>
        </w:tc>
        <w:tc>
          <w:tcPr>
            <w:tcW w:w="837"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706" w:name="xdx_983_eus-gaap--OperatingIncomeLoss_c2"/>
            <w:bookmarkEnd w:id="706"/>
          </w:p>
        </w:tc>
        <w:tc>
          <w:tcPr>
            <w:tcW w:w="10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07" w:name="xdx_988_eus-gaap--OperatingIncomeLoss_pn"/>
            <w:bookmarkEnd w:id="707"/>
          </w:p>
        </w:tc>
        <w:tc>
          <w:tcPr>
            <w:tcW w:w="680" w:type="dxa"/>
            <w:tcBorders/>
            <w:shd w:fill="CCEEFF" w:val="clear"/>
            <w:vAlign w:val="center"/>
          </w:tcPr>
          <w:p>
            <w:pPr>
              <w:pStyle w:val="TableContents"/>
              <w:bidi w:val="0"/>
              <w:spacing w:before="0" w:after="283"/>
              <w:jc w:val="right"/>
              <w:rPr/>
            </w:pPr>
            <w:r>
              <w:rPr/>
              <w:t>(3,587</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4555" w:type="dxa"/>
            <w:tcBorders/>
            <w:shd w:fill="FFFFFF" w:val="clear"/>
            <w:vAlign w:val="center"/>
          </w:tcPr>
          <w:p>
            <w:pPr>
              <w:pStyle w:val="TableContents"/>
              <w:bidi w:val="0"/>
              <w:spacing w:before="0" w:after="283"/>
              <w:jc w:val="left"/>
              <w:rPr/>
            </w:pPr>
            <w:r>
              <w:rPr/>
              <w:t>Net income (loss) by geographic area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08" w:name="xdx_98B_eus-gaap--NetIncomeLoss_c2024010"/>
            <w:bookmarkEnd w:id="708"/>
          </w:p>
        </w:tc>
        <w:tc>
          <w:tcPr>
            <w:tcW w:w="680" w:type="dxa"/>
            <w:tcBorders/>
            <w:shd w:fill="FFFFFF" w:val="clear"/>
            <w:vAlign w:val="center"/>
          </w:tcPr>
          <w:p>
            <w:pPr>
              <w:pStyle w:val="TableContents"/>
              <w:bidi w:val="0"/>
              <w:spacing w:before="0" w:after="283"/>
              <w:jc w:val="right"/>
              <w:rPr/>
            </w:pPr>
            <w:r>
              <w:rPr/>
              <w:t>(4,527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bookmarkStart w:id="709" w:name="xdx_989_eus-gaap--NetIncomeLoss_c2024010"/>
            <w:bookmarkEnd w:id="709"/>
          </w:p>
        </w:tc>
        <w:tc>
          <w:tcPr>
            <w:tcW w:w="681" w:type="dxa"/>
            <w:tcBorders/>
            <w:shd w:fill="FFFFFF" w:val="clear"/>
            <w:vAlign w:val="center"/>
          </w:tcPr>
          <w:p>
            <w:pPr>
              <w:pStyle w:val="TableContents"/>
              <w:bidi w:val="0"/>
              <w:spacing w:before="0" w:after="283"/>
              <w:jc w:val="right"/>
              <w:rPr/>
            </w:pPr>
            <w:r>
              <w:rPr/>
              <w:t>(657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bookmarkStart w:id="710" w:name="xdx_98C_eus-gaap--NetIncomeLoss_c2024010"/>
            <w:bookmarkEnd w:id="710"/>
          </w:p>
        </w:tc>
        <w:tc>
          <w:tcPr>
            <w:tcW w:w="837"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bookmarkStart w:id="711" w:name="xdx_98C_eus-gaap--NetIncomeLoss_c2024010"/>
            <w:bookmarkEnd w:id="711"/>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12" w:name="xdx_988_eus-gaap--NetIncomeLoss_pn3n3_c2"/>
            <w:bookmarkEnd w:id="712"/>
          </w:p>
        </w:tc>
        <w:tc>
          <w:tcPr>
            <w:tcW w:w="680" w:type="dxa"/>
            <w:tcBorders/>
            <w:shd w:fill="FFFFFF" w:val="clear"/>
            <w:vAlign w:val="center"/>
          </w:tcPr>
          <w:p>
            <w:pPr>
              <w:pStyle w:val="TableContents"/>
              <w:bidi w:val="0"/>
              <w:spacing w:before="0" w:after="283"/>
              <w:jc w:val="right"/>
              <w:rPr/>
            </w:pPr>
            <w:r>
              <w:rPr/>
              <w:t>(5,170</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45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 w:type="dxa"/>
            <w:tcBorders>
              <w:bottom w:val="single" w:sz="8" w:space="0" w:color="000000"/>
            </w:tcBorders>
            <w:tcMar>
              <w:bottom w:w="28" w:type="dxa"/>
            </w:tcMar>
            <w:vAlign w:val="center"/>
          </w:tcPr>
          <w:p>
            <w:pPr>
              <w:pStyle w:val="TableContents"/>
              <w:bidi w:val="0"/>
              <w:spacing w:before="0" w:after="283"/>
              <w:jc w:val="left"/>
              <w:rPr/>
            </w:pPr>
            <w:r>
              <w:rPr/>
              <w:t> </w:t>
            </w:r>
          </w:p>
        </w:tc>
        <w:tc>
          <w:tcPr>
            <w:tcW w:w="681"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08" w:type="dxa"/>
            <w:tcBorders>
              <w:bottom w:val="single" w:sz="8" w:space="0" w:color="000000"/>
            </w:tcBorders>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b/>
              </w:rPr>
            </w:pPr>
            <w:r>
              <w:rPr>
                <w:b/>
                <w:u w:val="single"/>
              </w:rPr>
              <w:t>For the Period from January 1, 2023 to March 14, 2023 (Predecessor)</w:t>
            </w: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Revenues by geographic area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13" w:name="xdx_985_eus-gaap--Revenues_c20230101__20"/>
            <w:bookmarkEnd w:id="713"/>
          </w:p>
        </w:tc>
        <w:tc>
          <w:tcPr>
            <w:tcW w:w="680" w:type="dxa"/>
            <w:tcBorders/>
            <w:shd w:fill="FFFFFF" w:val="clear"/>
            <w:vAlign w:val="center"/>
          </w:tcPr>
          <w:p>
            <w:pPr>
              <w:pStyle w:val="TableContents"/>
              <w:bidi w:val="0"/>
              <w:spacing w:before="0" w:after="283"/>
              <w:jc w:val="right"/>
              <w:rPr/>
            </w:pPr>
            <w:r>
              <w:rPr/>
              <w:t>1,395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bookmarkStart w:id="714" w:name="xdx_98A_eus-gaap--Revenues_c20230101__20"/>
            <w:bookmarkEnd w:id="714"/>
          </w:p>
        </w:tc>
        <w:tc>
          <w:tcPr>
            <w:tcW w:w="681" w:type="dxa"/>
            <w:tcBorders/>
            <w:shd w:fill="FFFFFF" w:val="clear"/>
            <w:vAlign w:val="center"/>
          </w:tcPr>
          <w:p>
            <w:pPr>
              <w:pStyle w:val="TableContents"/>
              <w:bidi w:val="0"/>
              <w:spacing w:before="0" w:after="283"/>
              <w:jc w:val="right"/>
              <w:rPr/>
            </w:pPr>
            <w:r>
              <w:rPr/>
              <w:t>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bookmarkStart w:id="715" w:name="xdx_984_eus-gaap--Revenues_c20230101__20"/>
            <w:bookmarkEnd w:id="715"/>
          </w:p>
        </w:tc>
        <w:tc>
          <w:tcPr>
            <w:tcW w:w="837" w:type="dxa"/>
            <w:tcBorders/>
            <w:shd w:fill="FFFFFF" w:val="clear"/>
            <w:vAlign w:val="center"/>
          </w:tcPr>
          <w:p>
            <w:pPr>
              <w:pStyle w:val="TableContents"/>
              <w:bidi w:val="0"/>
              <w:spacing w:before="0" w:after="283"/>
              <w:jc w:val="right"/>
              <w:rPr/>
            </w:pPr>
            <w:r>
              <w:rPr/>
              <w:t>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bookmarkStart w:id="716" w:name="xdx_98E_eus-gaap--Revenues_c20230101__20"/>
            <w:bookmarkEnd w:id="716"/>
          </w:p>
        </w:tc>
        <w:tc>
          <w:tcPr>
            <w:tcW w:w="1062" w:type="dxa"/>
            <w:tcBorders/>
            <w:shd w:fill="FFFFFF" w:val="clear"/>
            <w:vAlign w:val="center"/>
          </w:tcPr>
          <w:p>
            <w:pPr>
              <w:pStyle w:val="TableContents"/>
              <w:bidi w:val="0"/>
              <w:spacing w:before="0" w:after="283"/>
              <w:jc w:val="right"/>
              <w:rPr/>
            </w:pPr>
            <w:r>
              <w:rPr/>
              <w:t>(220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17" w:name="xdx_98F_eus-gaap--Revenues_pn3n3_c202301"/>
            <w:bookmarkEnd w:id="717"/>
          </w:p>
        </w:tc>
        <w:tc>
          <w:tcPr>
            <w:tcW w:w="680" w:type="dxa"/>
            <w:tcBorders/>
            <w:shd w:fill="FFFFFF" w:val="clear"/>
            <w:vAlign w:val="center"/>
          </w:tcPr>
          <w:p>
            <w:pPr>
              <w:pStyle w:val="TableContents"/>
              <w:bidi w:val="0"/>
              <w:spacing w:before="0" w:after="283"/>
              <w:jc w:val="right"/>
              <w:rPr/>
            </w:pPr>
            <w:r>
              <w:rPr/>
              <w:t>1,620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Operating income (loss) by geographic area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18" w:name="xdx_98A_eus-gaap--OperatingIncomeLoss_c2"/>
            <w:bookmarkEnd w:id="718"/>
          </w:p>
        </w:tc>
        <w:tc>
          <w:tcPr>
            <w:tcW w:w="680" w:type="dxa"/>
            <w:tcBorders/>
            <w:shd w:fill="CCEEFF" w:val="clear"/>
            <w:vAlign w:val="center"/>
          </w:tcPr>
          <w:p>
            <w:pPr>
              <w:pStyle w:val="TableContents"/>
              <w:bidi w:val="0"/>
              <w:spacing w:before="0" w:after="283"/>
              <w:jc w:val="right"/>
              <w:rPr/>
            </w:pPr>
            <w:r>
              <w:rPr/>
              <w:t>(3,479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bookmarkStart w:id="719" w:name="xdx_988_eus-gaap--OperatingIncomeLoss_c2"/>
            <w:bookmarkEnd w:id="719"/>
          </w:p>
        </w:tc>
        <w:tc>
          <w:tcPr>
            <w:tcW w:w="681" w:type="dxa"/>
            <w:tcBorders/>
            <w:shd w:fill="CCEEFF" w:val="clear"/>
            <w:vAlign w:val="center"/>
          </w:tcPr>
          <w:p>
            <w:pPr>
              <w:pStyle w:val="TableContents"/>
              <w:bidi w:val="0"/>
              <w:spacing w:before="0" w:after="283"/>
              <w:jc w:val="right"/>
              <w:rPr/>
            </w:pPr>
            <w:r>
              <w:rPr/>
              <w:t>(905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bookmarkStart w:id="720" w:name="xdx_985_eus-gaap--OperatingIncomeLoss_c2"/>
            <w:bookmarkEnd w:id="720"/>
          </w:p>
        </w:tc>
        <w:tc>
          <w:tcPr>
            <w:tcW w:w="837"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721" w:name="xdx_987_eus-gaap--OperatingIncomeLoss_pn"/>
            <w:bookmarkEnd w:id="721"/>
          </w:p>
        </w:tc>
        <w:tc>
          <w:tcPr>
            <w:tcW w:w="10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22" w:name="xdx_987_eus-gaap--OperatingIncomeLoss_pn"/>
            <w:bookmarkEnd w:id="722"/>
          </w:p>
        </w:tc>
        <w:tc>
          <w:tcPr>
            <w:tcW w:w="680" w:type="dxa"/>
            <w:tcBorders/>
            <w:shd w:fill="CCEEFF" w:val="clear"/>
            <w:vAlign w:val="center"/>
          </w:tcPr>
          <w:p>
            <w:pPr>
              <w:pStyle w:val="TableContents"/>
              <w:bidi w:val="0"/>
              <w:spacing w:before="0" w:after="283"/>
              <w:jc w:val="right"/>
              <w:rPr/>
            </w:pPr>
            <w:r>
              <w:rPr/>
              <w:t>(4,381</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4555" w:type="dxa"/>
            <w:tcBorders/>
            <w:shd w:fill="FFFFFF" w:val="clear"/>
            <w:vAlign w:val="center"/>
          </w:tcPr>
          <w:p>
            <w:pPr>
              <w:pStyle w:val="TableContents"/>
              <w:bidi w:val="0"/>
              <w:spacing w:before="0" w:after="283"/>
              <w:jc w:val="left"/>
              <w:rPr/>
            </w:pPr>
            <w:r>
              <w:rPr/>
              <w:t>Net income (loss) by geographic area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23" w:name="xdx_982_eus-gaap--NetIncomeLoss_c2023010"/>
            <w:bookmarkEnd w:id="723"/>
          </w:p>
        </w:tc>
        <w:tc>
          <w:tcPr>
            <w:tcW w:w="680" w:type="dxa"/>
            <w:tcBorders/>
            <w:shd w:fill="FFFFFF" w:val="clear"/>
            <w:vAlign w:val="center"/>
          </w:tcPr>
          <w:p>
            <w:pPr>
              <w:pStyle w:val="TableContents"/>
              <w:bidi w:val="0"/>
              <w:spacing w:before="0" w:after="283"/>
              <w:jc w:val="right"/>
              <w:rPr/>
            </w:pPr>
            <w:r>
              <w:rPr/>
              <w:t>(3,342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bookmarkStart w:id="724" w:name="xdx_981_eus-gaap--NetIncomeLoss_c2023010"/>
            <w:bookmarkEnd w:id="724"/>
          </w:p>
        </w:tc>
        <w:tc>
          <w:tcPr>
            <w:tcW w:w="681" w:type="dxa"/>
            <w:tcBorders/>
            <w:shd w:fill="FFFFFF" w:val="clear"/>
            <w:vAlign w:val="center"/>
          </w:tcPr>
          <w:p>
            <w:pPr>
              <w:pStyle w:val="TableContents"/>
              <w:bidi w:val="0"/>
              <w:spacing w:before="0" w:after="283"/>
              <w:jc w:val="right"/>
              <w:rPr/>
            </w:pPr>
            <w:r>
              <w:rPr/>
              <w:t>(1,041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bookmarkStart w:id="725" w:name="xdx_98C_eus-gaap--NetIncomeLoss_c2023010"/>
            <w:bookmarkEnd w:id="725"/>
          </w:p>
        </w:tc>
        <w:tc>
          <w:tcPr>
            <w:tcW w:w="837"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bookmarkStart w:id="726" w:name="xdx_982_eus-gaap--NetIncomeLoss_pn3n3_c2"/>
            <w:bookmarkEnd w:id="726"/>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27" w:name="xdx_981_eus-gaap--NetIncomeLoss_pn3n3_c2"/>
            <w:bookmarkEnd w:id="727"/>
          </w:p>
        </w:tc>
        <w:tc>
          <w:tcPr>
            <w:tcW w:w="680" w:type="dxa"/>
            <w:tcBorders/>
            <w:shd w:fill="FFFFFF" w:val="clear"/>
            <w:vAlign w:val="center"/>
          </w:tcPr>
          <w:p>
            <w:pPr>
              <w:pStyle w:val="TableContents"/>
              <w:bidi w:val="0"/>
              <w:spacing w:before="0" w:after="283"/>
              <w:jc w:val="right"/>
              <w:rPr/>
            </w:pPr>
            <w:r>
              <w:rPr/>
              <w:t>(4,380</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4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b/>
              </w:rPr>
            </w:pPr>
            <w:r>
              <w:rPr>
                <w:b/>
                <w:u w:val="single"/>
              </w:rPr>
              <w:t>For the Period from March 15, 2023 to March 31, 2023 (Successor)</w:t>
            </w: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Revenues by geographic area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28" w:name="xdx_981_eus-gaap--Revenues_c20230315__20"/>
            <w:bookmarkEnd w:id="728"/>
          </w:p>
        </w:tc>
        <w:tc>
          <w:tcPr>
            <w:tcW w:w="680" w:type="dxa"/>
            <w:tcBorders/>
            <w:shd w:fill="CCEEFF" w:val="clear"/>
            <w:vAlign w:val="center"/>
          </w:tcPr>
          <w:p>
            <w:pPr>
              <w:pStyle w:val="TableContents"/>
              <w:bidi w:val="0"/>
              <w:spacing w:before="0" w:after="283"/>
              <w:jc w:val="right"/>
              <w:rPr/>
            </w:pPr>
            <w:r>
              <w:rPr/>
              <w:t>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bookmarkStart w:id="729" w:name="xdx_98E_eus-gaap--Revenues_c20230315__20"/>
            <w:bookmarkEnd w:id="729"/>
          </w:p>
        </w:tc>
        <w:tc>
          <w:tcPr>
            <w:tcW w:w="681" w:type="dxa"/>
            <w:tcBorders/>
            <w:shd w:fill="CCEEFF" w:val="clear"/>
            <w:vAlign w:val="center"/>
          </w:tcPr>
          <w:p>
            <w:pPr>
              <w:pStyle w:val="TableContents"/>
              <w:bidi w:val="0"/>
              <w:spacing w:before="0" w:after="283"/>
              <w:jc w:val="right"/>
              <w:rPr/>
            </w:pPr>
            <w:r>
              <w:rPr/>
              <w:t>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bookmarkStart w:id="730" w:name="xdx_980_eus-gaap--Revenues_c20230315__20"/>
            <w:bookmarkEnd w:id="730"/>
          </w:p>
        </w:tc>
        <w:tc>
          <w:tcPr>
            <w:tcW w:w="837" w:type="dxa"/>
            <w:tcBorders/>
            <w:shd w:fill="CCEEFF" w:val="clear"/>
            <w:vAlign w:val="center"/>
          </w:tcPr>
          <w:p>
            <w:pPr>
              <w:pStyle w:val="TableContents"/>
              <w:bidi w:val="0"/>
              <w:spacing w:before="0" w:after="283"/>
              <w:jc w:val="right"/>
              <w:rPr/>
            </w:pPr>
            <w:r>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731" w:name="xdx_980_eus-gaap--Revenues_c20230315__20"/>
            <w:bookmarkEnd w:id="731"/>
          </w:p>
        </w:tc>
        <w:tc>
          <w:tcPr>
            <w:tcW w:w="1062" w:type="dxa"/>
            <w:tcBorders/>
            <w:shd w:fill="CCEEFF" w:val="clear"/>
            <w:vAlign w:val="center"/>
          </w:tcPr>
          <w:p>
            <w:pPr>
              <w:pStyle w:val="TableContents"/>
              <w:bidi w:val="0"/>
              <w:spacing w:before="0" w:after="283"/>
              <w:jc w:val="right"/>
              <w:rPr/>
            </w:pPr>
            <w:r>
              <w:rPr/>
              <w:t>(196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2" w:name="xdx_986_eus-gaap--Revenues_pn3n3_c202303"/>
            <w:bookmarkEnd w:id="732"/>
          </w:p>
        </w:tc>
        <w:tc>
          <w:tcPr>
            <w:tcW w:w="680" w:type="dxa"/>
            <w:tcBorders/>
            <w:shd w:fill="CCEEFF" w:val="clear"/>
            <w:vAlign w:val="center"/>
          </w:tcPr>
          <w:p>
            <w:pPr>
              <w:pStyle w:val="TableContents"/>
              <w:bidi w:val="0"/>
              <w:spacing w:before="0" w:after="283"/>
              <w:jc w:val="right"/>
              <w:rPr/>
            </w:pPr>
            <w:r>
              <w:rPr/>
              <w:t>342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Operating income (loss) by geographic area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33" w:name="xdx_98E_eus-gaap--OperatingIncomeLoss_c2"/>
            <w:bookmarkEnd w:id="733"/>
          </w:p>
        </w:tc>
        <w:tc>
          <w:tcPr>
            <w:tcW w:w="680"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bookmarkStart w:id="734" w:name="xdx_984_eus-gaap--OperatingIncomeLoss_c2"/>
            <w:bookmarkEnd w:id="734"/>
          </w:p>
        </w:tc>
        <w:tc>
          <w:tcPr>
            <w:tcW w:w="681" w:type="dxa"/>
            <w:tcBorders/>
            <w:shd w:fill="FFFFFF" w:val="clear"/>
            <w:vAlign w:val="center"/>
          </w:tcPr>
          <w:p>
            <w:pPr>
              <w:pStyle w:val="TableContents"/>
              <w:bidi w:val="0"/>
              <w:spacing w:before="0" w:after="283"/>
              <w:jc w:val="right"/>
              <w:rPr/>
            </w:pPr>
            <w:r>
              <w:rPr/>
              <w:t>(158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bookmarkStart w:id="735" w:name="xdx_989_eus-gaap--OperatingIncomeLoss_c2"/>
            <w:bookmarkEnd w:id="735"/>
          </w:p>
        </w:tc>
        <w:tc>
          <w:tcPr>
            <w:tcW w:w="837" w:type="dxa"/>
            <w:tcBorders/>
            <w:shd w:fill="FFFFFF" w:val="clear"/>
            <w:vAlign w:val="center"/>
          </w:tcPr>
          <w:p>
            <w:pPr>
              <w:pStyle w:val="TableContents"/>
              <w:bidi w:val="0"/>
              <w:spacing w:before="0" w:after="283"/>
              <w:jc w:val="right"/>
              <w:rPr/>
            </w:pPr>
            <w:r>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bookmarkStart w:id="736" w:name="xdx_984_eus-gaap--OperatingIncomeLoss_c2"/>
            <w:bookmarkEnd w:id="736"/>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37" w:name="xdx_98A_eus-gaap--OperatingIncomeLoss_c2"/>
            <w:bookmarkEnd w:id="737"/>
          </w:p>
        </w:tc>
        <w:tc>
          <w:tcPr>
            <w:tcW w:w="680" w:type="dxa"/>
            <w:tcBorders/>
            <w:shd w:fill="FFFFFF" w:val="clear"/>
            <w:vAlign w:val="center"/>
          </w:tcPr>
          <w:p>
            <w:pPr>
              <w:pStyle w:val="TableContents"/>
              <w:bidi w:val="0"/>
              <w:spacing w:before="0" w:after="283"/>
              <w:jc w:val="right"/>
              <w:rPr/>
            </w:pPr>
            <w:r>
              <w:rPr/>
              <w:t>(487</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4555" w:type="dxa"/>
            <w:tcBorders/>
            <w:shd w:fill="CCEEFF" w:val="clear"/>
            <w:vAlign w:val="center"/>
          </w:tcPr>
          <w:p>
            <w:pPr>
              <w:pStyle w:val="TableContents"/>
              <w:bidi w:val="0"/>
              <w:spacing w:before="0" w:after="283"/>
              <w:jc w:val="left"/>
              <w:rPr/>
            </w:pPr>
            <w:r>
              <w:rPr/>
              <w:t>Net income (loss) by geographic area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8" w:name="xdx_986_eus-gaap--NetIncomeLoss_c2023031"/>
            <w:bookmarkEnd w:id="738"/>
          </w:p>
        </w:tc>
        <w:tc>
          <w:tcPr>
            <w:tcW w:w="680" w:type="dxa"/>
            <w:tcBorders/>
            <w:shd w:fill="CCEEFF" w:val="clear"/>
            <w:vAlign w:val="center"/>
          </w:tcPr>
          <w:p>
            <w:pPr>
              <w:pStyle w:val="TableContents"/>
              <w:bidi w:val="0"/>
              <w:spacing w:before="0" w:after="283"/>
              <w:jc w:val="right"/>
              <w:rPr/>
            </w:pPr>
            <w:r>
              <w:rPr/>
              <w:t>2,780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bookmarkStart w:id="739" w:name="xdx_98C_eus-gaap--NetIncomeLoss_c2023031"/>
            <w:bookmarkEnd w:id="739"/>
          </w:p>
        </w:tc>
        <w:tc>
          <w:tcPr>
            <w:tcW w:w="681" w:type="dxa"/>
            <w:tcBorders/>
            <w:shd w:fill="CCEEFF" w:val="clear"/>
            <w:vAlign w:val="center"/>
          </w:tcPr>
          <w:p>
            <w:pPr>
              <w:pStyle w:val="TableContents"/>
              <w:bidi w:val="0"/>
              <w:spacing w:before="0" w:after="283"/>
              <w:jc w:val="right"/>
              <w:rPr/>
            </w:pPr>
            <w:r>
              <w:rPr/>
              <w:t>(158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bookmarkStart w:id="740" w:name="xdx_981_eus-gaap--NetIncomeLoss_c2023031"/>
            <w:bookmarkEnd w:id="740"/>
          </w:p>
        </w:tc>
        <w:tc>
          <w:tcPr>
            <w:tcW w:w="837" w:type="dxa"/>
            <w:tcBorders/>
            <w:shd w:fill="CCEEFF" w:val="clear"/>
            <w:vAlign w:val="center"/>
          </w:tcPr>
          <w:p>
            <w:pPr>
              <w:pStyle w:val="TableContents"/>
              <w:bidi w:val="0"/>
              <w:spacing w:before="0" w:after="283"/>
              <w:jc w:val="right"/>
              <w:rPr/>
            </w:pPr>
            <w:r>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741" w:name="xdx_987_eus-gaap--NetIncomeLoss_c2023031"/>
            <w:bookmarkEnd w:id="741"/>
          </w:p>
        </w:tc>
        <w:tc>
          <w:tcPr>
            <w:tcW w:w="1062"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42" w:name="xdx_98F_eus-gaap--NetIncomeLoss_c2023031"/>
            <w:bookmarkEnd w:id="742"/>
          </w:p>
        </w:tc>
        <w:tc>
          <w:tcPr>
            <w:tcW w:w="680" w:type="dxa"/>
            <w:tcBorders/>
            <w:shd w:fill="CCEEFF" w:val="clear"/>
            <w:vAlign w:val="center"/>
          </w:tcPr>
          <w:p>
            <w:pPr>
              <w:pStyle w:val="TableContents"/>
              <w:bidi w:val="0"/>
              <w:spacing w:before="0" w:after="283"/>
              <w:jc w:val="right"/>
              <w:rPr/>
            </w:pPr>
            <w:r>
              <w:rPr/>
              <w:t>2,758</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b/>
                <w:u w:val="single"/>
              </w:rPr>
            </w:pPr>
            <w:r>
              <w:rPr>
                <w:b/>
                <w:u w:val="single"/>
              </w:rPr>
              <w:t>As of March 31, 2024 (Successor)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Identifiable assets by geographic area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43" w:name="xdx_981_ecustom--NetAssets_c20240331__sr"/>
            <w:bookmarkEnd w:id="743"/>
          </w:p>
        </w:tc>
        <w:tc>
          <w:tcPr>
            <w:tcW w:w="680" w:type="dxa"/>
            <w:tcBorders/>
            <w:shd w:fill="FFFFFF" w:val="clear"/>
            <w:vAlign w:val="center"/>
          </w:tcPr>
          <w:p>
            <w:pPr>
              <w:pStyle w:val="TableContents"/>
              <w:bidi w:val="0"/>
              <w:spacing w:before="0" w:after="283"/>
              <w:jc w:val="right"/>
              <w:rPr/>
            </w:pPr>
            <w:r>
              <w:rPr/>
              <w:t>36,681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bookmarkStart w:id="744" w:name="xdx_988_ecustom--NetAssets_c20240331__sr"/>
            <w:bookmarkEnd w:id="744"/>
          </w:p>
        </w:tc>
        <w:tc>
          <w:tcPr>
            <w:tcW w:w="681"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bookmarkStart w:id="745" w:name="xdx_982_ecustom--NetAssets_c20240331__sr"/>
            <w:bookmarkEnd w:id="745"/>
          </w:p>
        </w:tc>
        <w:tc>
          <w:tcPr>
            <w:tcW w:w="837" w:type="dxa"/>
            <w:tcBorders/>
            <w:shd w:fill="FFFFFF" w:val="clear"/>
            <w:vAlign w:val="center"/>
          </w:tcPr>
          <w:p>
            <w:pPr>
              <w:pStyle w:val="TableContents"/>
              <w:bidi w:val="0"/>
              <w:spacing w:before="0" w:after="283"/>
              <w:jc w:val="right"/>
              <w:rPr/>
            </w:pPr>
            <w:r>
              <w:rPr/>
              <w:t>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bookmarkStart w:id="746" w:name="xdx_982_ecustom--NetAssets_c20240331__sr"/>
            <w:bookmarkEnd w:id="746"/>
          </w:p>
        </w:tc>
        <w:tc>
          <w:tcPr>
            <w:tcW w:w="1062" w:type="dxa"/>
            <w:tcBorders/>
            <w:shd w:fill="FFFFFF" w:val="clear"/>
            <w:vAlign w:val="center"/>
          </w:tcPr>
          <w:p>
            <w:pPr>
              <w:pStyle w:val="TableContents"/>
              <w:bidi w:val="0"/>
              <w:spacing w:before="0" w:after="283"/>
              <w:jc w:val="right"/>
              <w:rPr/>
            </w:pPr>
            <w:r>
              <w:rPr/>
              <w:t>(3,169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47" w:name="xdx_98A_ecustom--NetAssets_c20240331__sr"/>
            <w:bookmarkEnd w:id="747"/>
          </w:p>
        </w:tc>
        <w:tc>
          <w:tcPr>
            <w:tcW w:w="680" w:type="dxa"/>
            <w:tcBorders/>
            <w:shd w:fill="FFFFFF" w:val="clear"/>
            <w:vAlign w:val="center"/>
          </w:tcPr>
          <w:p>
            <w:pPr>
              <w:pStyle w:val="TableContents"/>
              <w:bidi w:val="0"/>
              <w:spacing w:before="0" w:after="283"/>
              <w:jc w:val="right"/>
              <w:rPr/>
            </w:pPr>
            <w:r>
              <w:rPr/>
              <w:t>34,557</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Long lived assets by geographic area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48" w:name="xdx_98B_ecustom--LongLivedAssetsByGeogra"/>
            <w:bookmarkEnd w:id="748"/>
          </w:p>
        </w:tc>
        <w:tc>
          <w:tcPr>
            <w:tcW w:w="680" w:type="dxa"/>
            <w:tcBorders/>
            <w:shd w:fill="CCEEFF" w:val="clear"/>
            <w:vAlign w:val="center"/>
          </w:tcPr>
          <w:p>
            <w:pPr>
              <w:pStyle w:val="TableContents"/>
              <w:bidi w:val="0"/>
              <w:spacing w:before="0" w:after="283"/>
              <w:jc w:val="right"/>
              <w:rPr/>
            </w:pPr>
            <w:r>
              <w:rPr/>
              <w:t>17,533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bookmarkStart w:id="749" w:name="xdx_985_ecustom--LongLivedAssetsByGeogra"/>
            <w:bookmarkEnd w:id="749"/>
          </w:p>
        </w:tc>
        <w:tc>
          <w:tcPr>
            <w:tcW w:w="681" w:type="dxa"/>
            <w:tcBorders/>
            <w:shd w:fill="CCEEFF" w:val="clear"/>
            <w:vAlign w:val="center"/>
          </w:tcPr>
          <w:p>
            <w:pPr>
              <w:pStyle w:val="TableContents"/>
              <w:bidi w:val="0"/>
              <w:spacing w:before="0" w:after="283"/>
              <w:jc w:val="right"/>
              <w:rPr/>
            </w:pPr>
            <w:r>
              <w:rPr/>
              <w:t>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bookmarkStart w:id="750" w:name="xdx_988_ecustom--LongLivedAssetsByGeogra"/>
            <w:bookmarkEnd w:id="750"/>
          </w:p>
        </w:tc>
        <w:tc>
          <w:tcPr>
            <w:tcW w:w="837" w:type="dxa"/>
            <w:tcBorders/>
            <w:shd w:fill="CCEEFF" w:val="clear"/>
            <w:vAlign w:val="center"/>
          </w:tcPr>
          <w:p>
            <w:pPr>
              <w:pStyle w:val="TableContents"/>
              <w:bidi w:val="0"/>
              <w:spacing w:before="0" w:after="283"/>
              <w:jc w:val="right"/>
              <w:rPr/>
            </w:pPr>
            <w:r>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751" w:name="xdx_98A_ecustom--LongLivedAssetsByGeogra"/>
            <w:bookmarkEnd w:id="751"/>
          </w:p>
        </w:tc>
        <w:tc>
          <w:tcPr>
            <w:tcW w:w="10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52" w:name="xdx_985_ecustom--LongLivedAssetsByGeogra"/>
            <w:bookmarkEnd w:id="752"/>
          </w:p>
        </w:tc>
        <w:tc>
          <w:tcPr>
            <w:tcW w:w="680" w:type="dxa"/>
            <w:tcBorders/>
            <w:shd w:fill="CCEEFF" w:val="clear"/>
            <w:vAlign w:val="center"/>
          </w:tcPr>
          <w:p>
            <w:pPr>
              <w:pStyle w:val="TableContents"/>
              <w:bidi w:val="0"/>
              <w:spacing w:before="0" w:after="283"/>
              <w:jc w:val="right"/>
              <w:rPr/>
            </w:pPr>
            <w:r>
              <w:rPr/>
              <w:t>17,937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Goodwill by geographic area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53" w:name="xdx_98C_eus-gaap--Goodwill_c20240331__sr"/>
            <w:bookmarkEnd w:id="753"/>
          </w:p>
        </w:tc>
        <w:tc>
          <w:tcPr>
            <w:tcW w:w="680" w:type="dxa"/>
            <w:tcBorders/>
            <w:shd w:fill="FFFFFF" w:val="clear"/>
            <w:vAlign w:val="center"/>
          </w:tcPr>
          <w:p>
            <w:pPr>
              <w:pStyle w:val="TableContents"/>
              <w:bidi w:val="0"/>
              <w:spacing w:before="0" w:after="283"/>
              <w:jc w:val="right"/>
              <w:rPr/>
            </w:pPr>
            <w:r>
              <w:rPr/>
              <w:t>8,737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bookmarkStart w:id="754" w:name="xdx_989_eus-gaap--Goodwill_c20240331__sr"/>
            <w:bookmarkEnd w:id="754"/>
          </w:p>
        </w:tc>
        <w:tc>
          <w:tcPr>
            <w:tcW w:w="6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bookmarkStart w:id="755" w:name="xdx_98D_eus-gaap--Goodwill_c20240331__sr"/>
            <w:bookmarkEnd w:id="755"/>
          </w:p>
        </w:tc>
        <w:tc>
          <w:tcPr>
            <w:tcW w:w="8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bookmarkStart w:id="756" w:name="xdx_987_eus-gaap--Goodwill_c20240331__sr"/>
            <w:bookmarkEnd w:id="756"/>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57" w:name="xdx_989_eus-gaap--Goodwill_c20240331__sr"/>
            <w:bookmarkEnd w:id="757"/>
          </w:p>
        </w:tc>
        <w:tc>
          <w:tcPr>
            <w:tcW w:w="680" w:type="dxa"/>
            <w:tcBorders/>
            <w:shd w:fill="FFFFFF" w:val="clear"/>
            <w:vAlign w:val="center"/>
          </w:tcPr>
          <w:p>
            <w:pPr>
              <w:pStyle w:val="TableContents"/>
              <w:bidi w:val="0"/>
              <w:spacing w:before="0" w:after="283"/>
              <w:jc w:val="right"/>
              <w:rPr/>
            </w:pPr>
            <w:r>
              <w:rPr/>
              <w:t>8,737</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 w:type="dxa"/>
            <w:tcBorders>
              <w:bottom w:val="single" w:sz="8" w:space="0" w:color="000000"/>
            </w:tcBorders>
            <w:tcMar>
              <w:bottom w:w="28" w:type="dxa"/>
            </w:tcMar>
            <w:vAlign w:val="center"/>
          </w:tcPr>
          <w:p>
            <w:pPr>
              <w:pStyle w:val="TableContents"/>
              <w:bidi w:val="0"/>
              <w:spacing w:before="0" w:after="283"/>
              <w:jc w:val="left"/>
              <w:rPr/>
            </w:pPr>
            <w:r>
              <w:rPr/>
              <w:t> </w:t>
            </w:r>
          </w:p>
        </w:tc>
        <w:tc>
          <w:tcPr>
            <w:tcW w:w="681"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08" w:type="dxa"/>
            <w:tcBorders>
              <w:bottom w:val="single" w:sz="8" w:space="0" w:color="000000"/>
            </w:tcBorders>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b/>
                <w:u w:val="single"/>
              </w:rPr>
            </w:pPr>
            <w:r>
              <w:rPr>
                <w:b/>
                <w:u w:val="single"/>
              </w:rPr>
              <w:t>As of December 31, 2023 (Successor)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Identifiable assets by geographic area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58" w:name="xdx_98D_ecustom--NetAssets_c20231231__sr"/>
            <w:bookmarkEnd w:id="758"/>
          </w:p>
        </w:tc>
        <w:tc>
          <w:tcPr>
            <w:tcW w:w="680" w:type="dxa"/>
            <w:tcBorders/>
            <w:shd w:fill="FFFFFF" w:val="clear"/>
            <w:vAlign w:val="center"/>
          </w:tcPr>
          <w:p>
            <w:pPr>
              <w:pStyle w:val="TableContents"/>
              <w:bidi w:val="0"/>
              <w:spacing w:before="0" w:after="283"/>
              <w:jc w:val="right"/>
              <w:rPr/>
            </w:pPr>
            <w:r>
              <w:rPr/>
              <w:t>38,143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bookmarkStart w:id="759" w:name="xdx_98F_ecustom--NetAssets_c20231231__sr"/>
            <w:bookmarkEnd w:id="759"/>
          </w:p>
        </w:tc>
        <w:tc>
          <w:tcPr>
            <w:tcW w:w="681" w:type="dxa"/>
            <w:tcBorders/>
            <w:shd w:fill="FFFFFF" w:val="clear"/>
            <w:vAlign w:val="center"/>
          </w:tcPr>
          <w:p>
            <w:pPr>
              <w:pStyle w:val="TableContents"/>
              <w:bidi w:val="0"/>
              <w:spacing w:before="0" w:after="283"/>
              <w:jc w:val="right"/>
              <w:rPr/>
            </w:pPr>
            <w:r>
              <w:rPr/>
              <w:t>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bookmarkStart w:id="760" w:name="xdx_98C_ecustom--NetAssets_c20231231__sr"/>
            <w:bookmarkEnd w:id="760"/>
          </w:p>
        </w:tc>
        <w:tc>
          <w:tcPr>
            <w:tcW w:w="837" w:type="dxa"/>
            <w:tcBorders/>
            <w:shd w:fill="FFFFFF" w:val="clear"/>
            <w:vAlign w:val="center"/>
          </w:tcPr>
          <w:p>
            <w:pPr>
              <w:pStyle w:val="TableContents"/>
              <w:bidi w:val="0"/>
              <w:spacing w:before="0" w:after="283"/>
              <w:jc w:val="right"/>
              <w:rPr/>
            </w:pPr>
            <w:r>
              <w:rPr/>
              <w:t>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bookmarkStart w:id="761" w:name="xdx_983_ecustom--NetAssets_c20231231__sr"/>
            <w:bookmarkEnd w:id="761"/>
          </w:p>
        </w:tc>
        <w:tc>
          <w:tcPr>
            <w:tcW w:w="1062" w:type="dxa"/>
            <w:tcBorders/>
            <w:shd w:fill="FFFFFF" w:val="clear"/>
            <w:vAlign w:val="center"/>
          </w:tcPr>
          <w:p>
            <w:pPr>
              <w:pStyle w:val="TableContents"/>
              <w:bidi w:val="0"/>
              <w:spacing w:before="0" w:after="283"/>
              <w:jc w:val="right"/>
              <w:rPr/>
            </w:pPr>
            <w:r>
              <w:rPr/>
              <w:t>(2,623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62" w:name="xdx_98B_ecustom--NetAssets_c20231231__sr"/>
            <w:bookmarkEnd w:id="762"/>
          </w:p>
        </w:tc>
        <w:tc>
          <w:tcPr>
            <w:tcW w:w="680" w:type="dxa"/>
            <w:tcBorders/>
            <w:shd w:fill="FFFFFF" w:val="clear"/>
            <w:vAlign w:val="center"/>
          </w:tcPr>
          <w:p>
            <w:pPr>
              <w:pStyle w:val="TableContents"/>
              <w:bidi w:val="0"/>
              <w:spacing w:before="0" w:after="283"/>
              <w:jc w:val="right"/>
              <w:rPr/>
            </w:pPr>
            <w:r>
              <w:rPr/>
              <w:t>36,581</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555" w:type="dxa"/>
            <w:tcBorders/>
            <w:shd w:fill="CCEEFF" w:val="clear"/>
            <w:vAlign w:val="center"/>
          </w:tcPr>
          <w:p>
            <w:pPr>
              <w:pStyle w:val="TableContents"/>
              <w:bidi w:val="0"/>
              <w:spacing w:before="0" w:after="283"/>
              <w:jc w:val="left"/>
              <w:rPr/>
            </w:pPr>
            <w:r>
              <w:rPr/>
              <w:t>Long lived assets by geographic area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63" w:name="xdx_988_ecustom--LongLivedAssetsByGeogra"/>
            <w:bookmarkEnd w:id="763"/>
          </w:p>
        </w:tc>
        <w:tc>
          <w:tcPr>
            <w:tcW w:w="680" w:type="dxa"/>
            <w:tcBorders/>
            <w:shd w:fill="CCEEFF" w:val="clear"/>
            <w:vAlign w:val="center"/>
          </w:tcPr>
          <w:p>
            <w:pPr>
              <w:pStyle w:val="TableContents"/>
              <w:bidi w:val="0"/>
              <w:spacing w:before="0" w:after="283"/>
              <w:jc w:val="right"/>
              <w:rPr/>
            </w:pPr>
            <w:r>
              <w:rPr/>
              <w:t>18,269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bookmarkStart w:id="764" w:name="xdx_986_ecustom--LongLivedAssetsByGeogra"/>
            <w:bookmarkEnd w:id="764"/>
          </w:p>
        </w:tc>
        <w:tc>
          <w:tcPr>
            <w:tcW w:w="681"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bookmarkStart w:id="765" w:name="xdx_98B_ecustom--LongLivedAssetsByGeogra"/>
            <w:bookmarkEnd w:id="765"/>
          </w:p>
        </w:tc>
        <w:tc>
          <w:tcPr>
            <w:tcW w:w="837" w:type="dxa"/>
            <w:tcBorders/>
            <w:shd w:fill="CCEEFF" w:val="clear"/>
            <w:vAlign w:val="center"/>
          </w:tcPr>
          <w:p>
            <w:pPr>
              <w:pStyle w:val="TableContents"/>
              <w:bidi w:val="0"/>
              <w:spacing w:before="0" w:after="283"/>
              <w:jc w:val="right"/>
              <w:rPr/>
            </w:pPr>
            <w:r>
              <w:rPr/>
              <w:t>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766" w:name="xdx_98B_ecustom--LongLivedAssetsByGeogra"/>
            <w:bookmarkEnd w:id="766"/>
          </w:p>
        </w:tc>
        <w:tc>
          <w:tcPr>
            <w:tcW w:w="10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67" w:name="xdx_984_ecustom--LongLivedAssetsByGeogra"/>
            <w:bookmarkEnd w:id="767"/>
          </w:p>
        </w:tc>
        <w:tc>
          <w:tcPr>
            <w:tcW w:w="680" w:type="dxa"/>
            <w:tcBorders/>
            <w:shd w:fill="CCEEFF" w:val="clear"/>
            <w:vAlign w:val="center"/>
          </w:tcPr>
          <w:p>
            <w:pPr>
              <w:pStyle w:val="TableContents"/>
              <w:bidi w:val="0"/>
              <w:spacing w:before="0" w:after="283"/>
              <w:jc w:val="right"/>
              <w:rPr/>
            </w:pPr>
            <w:r>
              <w:rPr/>
              <w:t>18,737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shd w:fill="FFFFFF" w:val="clear"/>
            <w:vAlign w:val="center"/>
          </w:tcPr>
          <w:p>
            <w:pPr>
              <w:pStyle w:val="TableContents"/>
              <w:bidi w:val="0"/>
              <w:spacing w:before="0" w:after="283"/>
              <w:jc w:val="left"/>
              <w:rPr/>
            </w:pPr>
            <w:r>
              <w:rPr/>
              <w:t>Goodwill by geographic area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68" w:name="xdx_98F_eus-gaap--Goodwill_c20231231__sr"/>
            <w:bookmarkEnd w:id="768"/>
          </w:p>
        </w:tc>
        <w:tc>
          <w:tcPr>
            <w:tcW w:w="680" w:type="dxa"/>
            <w:tcBorders/>
            <w:shd w:fill="FFFFFF" w:val="clear"/>
            <w:vAlign w:val="center"/>
          </w:tcPr>
          <w:p>
            <w:pPr>
              <w:pStyle w:val="TableContents"/>
              <w:bidi w:val="0"/>
              <w:spacing w:before="0" w:after="283"/>
              <w:jc w:val="right"/>
              <w:rPr/>
            </w:pPr>
            <w:r>
              <w:rPr/>
              <w:t>8,737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bookmarkStart w:id="769" w:name="xdx_98A_eus-gaap--Goodwill_c20231231__sr"/>
            <w:bookmarkEnd w:id="769"/>
          </w:p>
        </w:tc>
        <w:tc>
          <w:tcPr>
            <w:tcW w:w="6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bookmarkStart w:id="770" w:name="xdx_98E_eus-gaap--Goodwill_c20231231__sr"/>
            <w:bookmarkEnd w:id="770"/>
          </w:p>
        </w:tc>
        <w:tc>
          <w:tcPr>
            <w:tcW w:w="8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bookmarkStart w:id="771" w:name="xdx_986_eus-gaap--Goodwill_c20231231__sr"/>
            <w:bookmarkEnd w:id="771"/>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72" w:name="xdx_988_eus-gaap--Goodwill_c20231231__sr"/>
            <w:bookmarkEnd w:id="772"/>
          </w:p>
        </w:tc>
        <w:tc>
          <w:tcPr>
            <w:tcW w:w="680" w:type="dxa"/>
            <w:tcBorders/>
            <w:shd w:fill="FFFFFF" w:val="clear"/>
            <w:vAlign w:val="center"/>
          </w:tcPr>
          <w:p>
            <w:pPr>
              <w:pStyle w:val="TableContents"/>
              <w:bidi w:val="0"/>
              <w:spacing w:before="0" w:after="283"/>
              <w:jc w:val="right"/>
              <w:rPr/>
            </w:pPr>
            <w:r>
              <w:rPr/>
              <w:t>8,737</w:t>
            </w:r>
          </w:p>
        </w:tc>
        <w:tc>
          <w:tcPr>
            <w:tcW w:w="9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73" w:name="xdx_8A3_zUYArBvJvV7h"/>
      <w:bookmarkEnd w:id="773"/>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jc w:val="left"/>
        <w:rPr>
          <w:caps w:val="false"/>
          <w:smallCaps w:val="false"/>
        </w:rPr>
      </w:pPr>
      <w:bookmarkStart w:id="774" w:name="xdx_23D_z3tGNE12lo3f"/>
      <w:bookmarkEnd w:id="774"/>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75" w:name="xdx_238_zRhys3DQnEhb"/>
      <w:bookmarkEnd w:id="775"/>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6" w:name="xdx_802_eus-gaap--LeasesOfLesseeDisclosu"/>
      <w:bookmarkEnd w:id="776"/>
      <w:r>
        <w:rPr>
          <w:rFonts w:ascii="Times New Roman;Times;Serif" w:hAnsi="Times New Roman;Times;Serif"/>
          <w:b/>
          <w:i w:val="false"/>
          <w:caps w:val="false"/>
          <w:smallCaps w:val="false"/>
          <w:sz w:val="20"/>
        </w:rPr>
        <w:t xml:space="preserve">NOTE 16 – </w:t>
      </w:r>
      <w:bookmarkStart w:id="777" w:name="xdx_82F_zWYgGs3tBSQ6"/>
      <w:bookmarkEnd w:id="777"/>
      <w:r>
        <w:rPr>
          <w:rFonts w:ascii="Times New Roman;Times;Serif" w:hAnsi="Times New Roman;Times;Serif"/>
          <w:b/>
          <w:i w:val="false"/>
          <w:caps w:val="false"/>
          <w:smallCaps w:val="false"/>
          <w:sz w:val="20"/>
        </w:rPr>
        <w:t>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for administrative offices in Canada, the Philippines, and the United States. The Manila, Philippines office lease expires in May 2025, the Canada lease expires in May 2026, and the United States office lease expires in April 2024. The Company has no other operating or financing leases with terms greater than 12 months.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operating leases recorded on the balance sheet is based on the future minimum lease payments recognized on a straight-line basis over the term of the lease plus any variable lease costs. Operating lease expenses, inclusive of short-term and variable lease expenses, recognized in the Company’s unaudited condensed consolidated statement of operations for the three months ended March 31, 2024 (Successor), for the period from March 15, 2023 to March 31, 2023 (Successor), and for the period from January 1, 2023 to March 14, 2023 (Predecessor) was approximately $</w:t>
      </w:r>
      <w:bookmarkStart w:id="778" w:name="xdx_907_eus-gaap--OperatingLeaseExpense_"/>
      <w:bookmarkEnd w:id="778"/>
      <w:r>
        <w:rPr>
          <w:rFonts w:ascii="Times New Roman;Times;Serif" w:hAnsi="Times New Roman;Times;Serif"/>
          <w:b w:val="false"/>
          <w:i w:val="false"/>
          <w:caps w:val="false"/>
          <w:smallCaps w:val="false"/>
          <w:sz w:val="20"/>
        </w:rPr>
        <w:t>113 thousand, $</w:t>
      </w:r>
      <w:bookmarkStart w:id="779" w:name="xdx_90F_eus-gaap--OperatingLeaseExpense_"/>
      <w:bookmarkEnd w:id="779"/>
      <w:r>
        <w:rPr>
          <w:rFonts w:ascii="Times New Roman;Times;Serif" w:hAnsi="Times New Roman;Times;Serif"/>
          <w:b w:val="false"/>
          <w:i w:val="false"/>
          <w:caps w:val="false"/>
          <w:smallCaps w:val="false"/>
          <w:sz w:val="20"/>
        </w:rPr>
        <w:t>9 thousand, and $</w:t>
      </w:r>
      <w:bookmarkStart w:id="780" w:name="xdx_904_eus-gaap--OperatingLeaseExpense_"/>
      <w:bookmarkEnd w:id="780"/>
      <w:r>
        <w:rPr>
          <w:rFonts w:ascii="Times New Roman;Times;Serif" w:hAnsi="Times New Roman;Times;Serif"/>
          <w:b w:val="false"/>
          <w:i w:val="false"/>
          <w:caps w:val="false"/>
          <w:smallCaps w:val="false"/>
          <w:sz w:val="20"/>
        </w:rPr>
        <w:t>57 thousand,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ASC 842 “Leases” (“ASC 842”). As of March 31, 2024 (Successor), the weighted average remaining lease term is </w:t>
      </w:r>
      <w:bookmarkStart w:id="781" w:name="xdx_902_eus-gaap--OperatingLeaseWeighted"/>
      <w:bookmarkEnd w:id="781"/>
      <w:r>
        <w:rPr>
          <w:rFonts w:ascii="Times New Roman;Times;Serif" w:hAnsi="Times New Roman;Times;Serif"/>
          <w:b w:val="false"/>
          <w:i w:val="false"/>
          <w:caps w:val="false"/>
          <w:smallCaps w:val="false"/>
          <w:sz w:val="20"/>
        </w:rPr>
        <w:t xml:space="preserve">1.1 years and the weighted average discount rate used to determine the operating lease liabilities was </w:t>
      </w:r>
      <w:bookmarkStart w:id="782" w:name="xdx_90B_eus-gaap--OperatingLeaseWeighted"/>
      <w:bookmarkEnd w:id="782"/>
      <w:r>
        <w:rPr>
          <w:rFonts w:ascii="Times New Roman;Times;Serif" w:hAnsi="Times New Roman;Times;Serif"/>
          <w:b w:val="false"/>
          <w:i w:val="false"/>
          <w:caps w:val="false"/>
          <w:smallCaps w:val="false"/>
          <w:sz w:val="20"/>
        </w:rPr>
        <w:t xml:space="preserve">8.0%. As of December 31, 2023 (Successor), the weighted average remaining lease term is </w:t>
      </w:r>
      <w:bookmarkStart w:id="783" w:name="xdx_90A_eus-gaap--OperatingLeaseWeighted"/>
      <w:bookmarkEnd w:id="783"/>
      <w:r>
        <w:rPr>
          <w:rFonts w:ascii="Times New Roman;Times;Serif" w:hAnsi="Times New Roman;Times;Serif"/>
          <w:b w:val="false"/>
          <w:i w:val="false"/>
          <w:caps w:val="false"/>
          <w:smallCaps w:val="false"/>
          <w:sz w:val="20"/>
        </w:rPr>
        <w:t xml:space="preserve">1.4 years and the weighted average discount rate used to determine the operating lease liabilities was </w:t>
      </w:r>
      <w:bookmarkStart w:id="784" w:name="xdx_904_eus-gaap--OperatingLeaseWeighted"/>
      <w:bookmarkEnd w:id="784"/>
      <w:r>
        <w:rPr>
          <w:rFonts w:ascii="Times New Roman;Times;Serif" w:hAnsi="Times New Roman;Times;Serif"/>
          <w:b w:val="false"/>
          <w:i w:val="false"/>
          <w:caps w:val="false"/>
          <w:smallCaps w:val="false"/>
          <w:sz w:val="20"/>
        </w:rPr>
        <w:t>8.0%.</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85" w:name="xdx_88B_eus-gaap--LeaseCostTableTextBloc"/>
      <w:bookmarkStart w:id="786" w:name="xdx_88B_eus-gaap--LeaseCostTableTextBloc"/>
      <w:bookmarkEnd w:id="786"/>
    </w:p>
    <w:tbl>
      <w:tblPr>
        <w:tblW w:w="6593" w:type="dxa"/>
        <w:jc w:val="left"/>
        <w:tblInd w:w="0" w:type="dxa"/>
        <w:tblLayout w:type="fixed"/>
        <w:tblCellMar>
          <w:top w:w="0" w:type="dxa"/>
          <w:left w:w="0" w:type="dxa"/>
          <w:bottom w:w="0" w:type="dxa"/>
          <w:right w:w="0" w:type="dxa"/>
        </w:tblCellMar>
      </w:tblPr>
      <w:tblGrid>
        <w:gridCol w:w="5465"/>
        <w:gridCol w:w="60"/>
        <w:gridCol w:w="251"/>
        <w:gridCol w:w="682"/>
        <w:gridCol w:w="135"/>
      </w:tblGrid>
      <w:tr>
        <w:trPr/>
        <w:tc>
          <w:tcPr>
            <w:tcW w:w="5465" w:type="dxa"/>
            <w:tcBorders/>
            <w:shd w:fill="FFFFFF" w:val="clear"/>
            <w:vAlign w:val="center"/>
          </w:tcPr>
          <w:p>
            <w:pPr>
              <w:pStyle w:val="TableContents"/>
              <w:bidi w:val="0"/>
              <w:spacing w:before="0" w:after="283"/>
              <w:ind w:left="0" w:right="0" w:hanging="180"/>
              <w:jc w:val="left"/>
              <w:rPr/>
            </w:pPr>
            <w:bookmarkStart w:id="787" w:name="xdx_8B6_z8MmWC6YS9Wl"/>
            <w:bookmarkEnd w:id="787"/>
            <w:r>
              <w:rPr/>
              <w:t xml:space="preserve">Schedule of operating leases </w:t>
            </w:r>
            <w:bookmarkStart w:id="788" w:name="xdx_8BB_zd1Um9MbYga9"/>
            <w:bookmarkEnd w:id="788"/>
            <w:r>
              <w:rPr/>
              <w:t>Schedule of operating leases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bookmarkStart w:id="789" w:name="xdx_493_20240331__srt--StatementScenario"/>
            <w:bookmarkEnd w:id="789"/>
          </w:p>
        </w:tc>
        <w:tc>
          <w:tcPr>
            <w:tcW w:w="682"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546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w:t>
            </w:r>
          </w:p>
        </w:tc>
        <w:tc>
          <w:tcPr>
            <w:tcW w:w="60" w:type="dxa"/>
            <w:tcBorders/>
            <w:vAlign w:val="center"/>
          </w:tcPr>
          <w:p>
            <w:pPr>
              <w:pStyle w:val="TableContents"/>
              <w:bidi w:val="0"/>
              <w:spacing w:before="0" w:after="283"/>
              <w:jc w:val="left"/>
              <w:rPr/>
            </w:pPr>
            <w:r>
              <w:rPr/>
              <w:t> </w:t>
            </w:r>
          </w:p>
        </w:tc>
        <w:tc>
          <w:tcPr>
            <w:tcW w:w="1068" w:type="dxa"/>
            <w:gridSpan w:val="3"/>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Operating</w:t>
              <w:br/>
              <w:t>Leases</w:t>
            </w:r>
            <w:bookmarkStart w:id="790" w:name="xdx_40B_eus-gaap--LesseeOperatingLeaseLi"/>
            <w:bookmarkEnd w:id="790"/>
          </w:p>
        </w:tc>
      </w:tr>
      <w:tr>
        <w:trPr/>
        <w:tc>
          <w:tcPr>
            <w:tcW w:w="5465" w:type="dxa"/>
            <w:tcBorders/>
            <w:shd w:fill="CCEEFF" w:val="clear"/>
            <w:vAlign w:val="center"/>
          </w:tcPr>
          <w:p>
            <w:pPr>
              <w:pStyle w:val="TableContents"/>
              <w:bidi w:val="0"/>
              <w:spacing w:before="0" w:after="283"/>
              <w:jc w:val="left"/>
              <w:rPr/>
            </w:pPr>
            <w:r>
              <w:rPr/>
              <w:t>Year 2024</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197</w:t>
            </w:r>
          </w:p>
        </w:tc>
        <w:tc>
          <w:tcPr>
            <w:tcW w:w="135" w:type="dxa"/>
            <w:tcBorders/>
            <w:shd w:fill="CCEEFF" w:val="clear"/>
            <w:vAlign w:val="center"/>
          </w:tcPr>
          <w:p>
            <w:pPr>
              <w:pStyle w:val="TableContents"/>
              <w:bidi w:val="0"/>
              <w:spacing w:before="0" w:after="283"/>
              <w:ind w:left="0" w:right="0" w:hanging="180"/>
              <w:jc w:val="left"/>
              <w:rPr/>
            </w:pPr>
            <w:r>
              <w:rPr/>
              <w:t> </w:t>
            </w:r>
            <w:bookmarkStart w:id="791" w:name="xdx_40C_eus-gaap--LesseeOperatingLeaseLi"/>
            <w:bookmarkEnd w:id="791"/>
          </w:p>
        </w:tc>
      </w:tr>
      <w:tr>
        <w:trPr/>
        <w:tc>
          <w:tcPr>
            <w:tcW w:w="5465" w:type="dxa"/>
            <w:tcBorders/>
            <w:shd w:fill="FFFFFF" w:val="clear"/>
            <w:vAlign w:val="center"/>
          </w:tcPr>
          <w:p>
            <w:pPr>
              <w:pStyle w:val="TableContents"/>
              <w:bidi w:val="0"/>
              <w:spacing w:before="0" w:after="283"/>
              <w:jc w:val="left"/>
              <w:rPr/>
            </w:pPr>
            <w:r>
              <w:rPr/>
              <w:t>Year 2025</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174</w:t>
            </w:r>
          </w:p>
        </w:tc>
        <w:tc>
          <w:tcPr>
            <w:tcW w:w="135" w:type="dxa"/>
            <w:tcBorders/>
            <w:shd w:fill="FFFFFF" w:val="clear"/>
            <w:vAlign w:val="center"/>
          </w:tcPr>
          <w:p>
            <w:pPr>
              <w:pStyle w:val="TableContents"/>
              <w:bidi w:val="0"/>
              <w:spacing w:before="0" w:after="283"/>
              <w:ind w:left="0" w:right="0" w:hanging="180"/>
              <w:jc w:val="left"/>
              <w:rPr/>
            </w:pPr>
            <w:r>
              <w:rPr/>
              <w:t> </w:t>
            </w:r>
            <w:bookmarkStart w:id="792" w:name="xdx_40F_eus-gaap--LesseeOperatingLeaseLi"/>
            <w:bookmarkEnd w:id="792"/>
          </w:p>
        </w:tc>
      </w:tr>
      <w:tr>
        <w:trPr/>
        <w:tc>
          <w:tcPr>
            <w:tcW w:w="5465" w:type="dxa"/>
            <w:tcBorders/>
            <w:shd w:fill="CCEEFF" w:val="clear"/>
            <w:vAlign w:val="center"/>
          </w:tcPr>
          <w:p>
            <w:pPr>
              <w:pStyle w:val="TableContents"/>
              <w:bidi w:val="0"/>
              <w:spacing w:before="0" w:after="283"/>
              <w:jc w:val="left"/>
              <w:rPr/>
            </w:pPr>
            <w:r>
              <w:rPr/>
              <w:t>Year 2026</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pPr>
            <w:r>
              <w:rPr/>
              <w:t>59</w:t>
            </w:r>
          </w:p>
        </w:tc>
        <w:tc>
          <w:tcPr>
            <w:tcW w:w="135" w:type="dxa"/>
            <w:tcBorders/>
            <w:shd w:fill="CCEEFF" w:val="clear"/>
            <w:vAlign w:val="center"/>
          </w:tcPr>
          <w:p>
            <w:pPr>
              <w:pStyle w:val="TableContents"/>
              <w:bidi w:val="0"/>
              <w:spacing w:before="0" w:after="283"/>
              <w:ind w:left="0" w:right="0" w:hanging="180"/>
              <w:jc w:val="left"/>
              <w:rPr/>
            </w:pPr>
            <w:r>
              <w:rPr/>
              <w:t> </w:t>
            </w:r>
            <w:bookmarkStart w:id="793" w:name="xdx_409_eus-gaap--LesseeOperatingLeaseLi"/>
            <w:bookmarkEnd w:id="793"/>
          </w:p>
        </w:tc>
      </w:tr>
      <w:tr>
        <w:trPr/>
        <w:tc>
          <w:tcPr>
            <w:tcW w:w="5465" w:type="dxa"/>
            <w:tcBorders/>
            <w:shd w:fill="FFFFFF" w:val="clear"/>
            <w:vAlign w:val="center"/>
          </w:tcPr>
          <w:p>
            <w:pPr>
              <w:pStyle w:val="TableContents"/>
              <w:bidi w:val="0"/>
              <w:spacing w:before="0" w:after="283"/>
              <w:jc w:val="left"/>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430</w:t>
            </w:r>
          </w:p>
        </w:tc>
        <w:tc>
          <w:tcPr>
            <w:tcW w:w="135" w:type="dxa"/>
            <w:tcBorders/>
            <w:shd w:fill="FFFFFF" w:val="clear"/>
            <w:vAlign w:val="center"/>
          </w:tcPr>
          <w:p>
            <w:pPr>
              <w:pStyle w:val="TableContents"/>
              <w:bidi w:val="0"/>
              <w:spacing w:before="0" w:after="283"/>
              <w:ind w:left="0" w:right="0" w:hanging="180"/>
              <w:jc w:val="left"/>
              <w:rPr/>
            </w:pPr>
            <w:r>
              <w:rPr/>
              <w:t> </w:t>
            </w:r>
            <w:bookmarkStart w:id="794" w:name="xdx_40F_eus-gaap--LesseeOperatingLeaseLi"/>
            <w:bookmarkEnd w:id="794"/>
          </w:p>
        </w:tc>
      </w:tr>
      <w:tr>
        <w:trPr/>
        <w:tc>
          <w:tcPr>
            <w:tcW w:w="5465"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135" w:type="dxa"/>
            <w:tcBorders/>
            <w:shd w:fill="CCEEFF" w:val="clear"/>
            <w:vAlign w:val="center"/>
          </w:tcPr>
          <w:p>
            <w:pPr>
              <w:pStyle w:val="TableContents"/>
              <w:bidi w:val="0"/>
              <w:spacing w:before="0" w:after="283"/>
              <w:ind w:left="0" w:right="0" w:hanging="180"/>
              <w:jc w:val="left"/>
              <w:rPr/>
            </w:pPr>
            <w:r>
              <w:rPr/>
              <w:t>)</w:t>
            </w:r>
            <w:bookmarkStart w:id="795" w:name="xdx_401_eus-gaap--OperatingLeaseLiabilit"/>
            <w:bookmarkEnd w:id="795"/>
          </w:p>
        </w:tc>
      </w:tr>
      <w:tr>
        <w:trPr/>
        <w:tc>
          <w:tcPr>
            <w:tcW w:w="5465" w:type="dxa"/>
            <w:tcBorders/>
            <w:shd w:fill="FFFFFF" w:val="clear"/>
            <w:vAlign w:val="center"/>
          </w:tcPr>
          <w:p>
            <w:pPr>
              <w:pStyle w:val="TableContents"/>
              <w:bidi w:val="0"/>
              <w:spacing w:before="0" w:after="283"/>
              <w:jc w:val="left"/>
              <w:rPr/>
            </w:pPr>
            <w:r>
              <w:rPr/>
              <w:t>Present value of lease liabilities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391</w:t>
            </w:r>
          </w:p>
        </w:tc>
        <w:tc>
          <w:tcPr>
            <w:tcW w:w="13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96" w:name="xdx_80C_eus-gaap--CommitmentsAndContinge"/>
      <w:bookmarkEnd w:id="796"/>
      <w:r>
        <w:rPr>
          <w:rFonts w:ascii="Times New Roman;Times;Serif" w:hAnsi="Times New Roman;Times;Serif"/>
          <w:b/>
          <w:i w:val="false"/>
          <w:caps w:val="false"/>
          <w:smallCaps w:val="false"/>
          <w:sz w:val="20"/>
        </w:rPr>
        <w:t xml:space="preserve">NOTE 17 – </w:t>
      </w:r>
      <w:bookmarkStart w:id="797" w:name="xdx_82C_zxTwM1sUdsFb"/>
      <w:bookmarkEnd w:id="797"/>
      <w:r>
        <w:rPr>
          <w:rFonts w:ascii="Times New Roman;Times;Serif" w:hAnsi="Times New Roman;Times;Serif"/>
          <w:b/>
          <w:i w:val="false"/>
          <w:caps w:val="false"/>
          <w:smallCaps w:val="false"/>
          <w:sz w:val="20"/>
        </w:rPr>
        <w:t>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social and political circumstances in the United States and around the world (including wars and other forms of conflict, including rising trade tensions between the United States and China, and other uncertainties regarding actual and potential shifts in the United States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United States and worldwide. Specifically, the rising conflict between Russia and Ukraine, and resulting market volatility could adversely affect the Company’s ability to complete a Business Combination. In response to the conflict between Russia and Ukraine, the United States and other countries have imposed sanctions or other restrictive actions against Russia. Any of the above factors, including sanctions, export controls, tariffs, trade wars and other governmental actions, could have a material adverse effect on the Company’s ability to complete a Business Combination and the value of the Company’s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evaluate the impact of these types of risks and has concluded that while it is reasonably possible that these risks and uncertainties could have a negative effect on the Company’s financial position, results of its operations and/or search for a target company, the specific impact is not readily determinable as of the date of these condensed consolidated financial statements. The condensed consolidated financial statements do not include any adjustments that might result from the outcome of this uncertainty.</w:t>
      </w:r>
    </w:p>
    <w:p>
      <w:pPr>
        <w:pStyle w:val="TextBody"/>
        <w:bidi w:val="0"/>
        <w:jc w:val="left"/>
        <w:rPr>
          <w:caps w:val="false"/>
          <w:smallCaps w:val="false"/>
        </w:rPr>
      </w:pPr>
      <w:bookmarkStart w:id="798" w:name="xdx_233_z6lNuJ0fQfWd"/>
      <w:bookmarkEnd w:id="798"/>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jc w:val="left"/>
        <w:rPr>
          <w:caps w:val="false"/>
          <w:smallCaps w:val="false"/>
        </w:rPr>
      </w:pPr>
      <w:bookmarkStart w:id="799" w:name="xdx_23E_zFYWuAFIxUl5"/>
      <w:bookmarkEnd w:id="799"/>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00" w:name="xdx_231_ztstGWkIF7eb"/>
      <w:bookmarkEnd w:id="800"/>
      <w:r>
        <w:rPr>
          <w:rFonts w:ascii="Times New Roman;Times;Serif" w:hAnsi="Times New Roman;Times;Serif"/>
          <w:b/>
          <w:i w:val="false"/>
          <w:caps w:val="false"/>
          <w:smallCaps w:val="false"/>
          <w:sz w:val="20"/>
        </w:rPr>
        <w:t>CXAPP INC. AND SUBSIDIARIES</w:t>
        <w:br/>
        <w:t>NOTES TO UNAUDITED CONDENSED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contingencies considered remote are generally not disclosed, unless they involve guarantees, in which case the guarantees would be disclosed. There can be no assurance that such matters will not materially and adversely affect the Company’s business, financial position, and results of operations or cash 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01" w:name="xdx_801_eus-gaap--SubsequentEventsTextBl"/>
      <w:bookmarkEnd w:id="801"/>
      <w:r>
        <w:rPr>
          <w:rFonts w:ascii="Times New Roman;Times;Serif" w:hAnsi="Times New Roman;Times;Serif"/>
          <w:b/>
          <w:i w:val="false"/>
          <w:caps w:val="false"/>
          <w:smallCaps w:val="false"/>
          <w:sz w:val="20"/>
        </w:rPr>
        <w:t xml:space="preserve">NOTE 18 – </w:t>
      </w:r>
      <w:bookmarkStart w:id="802" w:name="xdx_821_zrVDQFUA79H9"/>
      <w:bookmarkEnd w:id="802"/>
      <w:r>
        <w:rPr>
          <w:rFonts w:ascii="Times New Roman;Times;Serif" w:hAnsi="Times New Roman;Times;Serif"/>
          <w:b/>
          <w:i w:val="false"/>
          <w:caps w:val="false"/>
          <w:smallCaps w:val="false"/>
          <w:sz w:val="20"/>
        </w:rPr>
        <w:t>Subsequent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2024, it is announced to the public that CXApp will be partnering with Google Cloud to define a new category in enterprise software: Employee Experiences. Google Cloud powers most of CXApp’s enterprise customer applications and is a natural partner to aid in expanding service offerings. As part of the agreement, Google and its service partners will provide advanced services including end-to-end security, analytics and monitoring as well as usage-based SaaS performance enhancements to create the best-in-class cloud-mobile experience to CXApp’s clients on the new CXAI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 Platform is expected to be first deployed in the summer. Google has agreed to add the CXAI application platform to the Google Marketplace and signed a go-to-market partnership agreement. This would enable all of Google’s existing clients to have access to the CXAI platform with seamless and automated delivery.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2024, the Company received a notice (the “Notice”) from The Nasdaq Stock Market LLC (“Nasdaq”) notifying the Company that, because the Company is delinquent in filing its 2023 Form 10-K, the Company no longer complies with Nasdaq Listing Rule 5250(c)(1) (the “Listing Rule”), which requires companies with securities listed on Nasdaq to timely file all required periodic reports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Nasdaq’s listing rules, the Company has 60 calendar days after the Notice to submit a plan of compliance (the “Plan”) to Nasdaq addressing how the Company intends to regain compliance with Nasdaq’s listing rules, and Nasdaq has the discretion to grant the Company up to 180 calendar days from the due date of the 2023 Form 10-K, or October 14, 2024, to regain compliance. The Company intends to submit the Plan and take the necessary steps to regain compliance with Nasdaq’s listing rules as soon as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22, 2024, the </w:t>
      </w:r>
      <w:bookmarkStart w:id="803" w:name="xdx_901_ecustom--EquityLineFinancingAgre"/>
      <w:bookmarkEnd w:id="803"/>
      <w:r>
        <w:rPr>
          <w:rFonts w:ascii="Times New Roman;Times;Serif" w:hAnsi="Times New Roman;Times;Serif"/>
          <w:b w:val="false"/>
          <w:i w:val="false"/>
          <w:caps w:val="false"/>
          <w:smallCaps w:val="false"/>
          <w:sz w:val="20"/>
        </w:rPr>
        <w:t>Company entered into an equity line financing agreement for up to $10,000 thousand, with an initial draw of $2,500 thousand in the second quarter of 2024.</w:t>
      </w:r>
    </w:p>
    <w:p>
      <w:pPr>
        <w:pStyle w:val="TextBody"/>
        <w:bidi w:val="0"/>
        <w:jc w:val="left"/>
        <w:rPr>
          <w:caps w:val="false"/>
          <w:smallCaps w:val="false"/>
        </w:rPr>
      </w:pPr>
      <w:bookmarkStart w:id="804" w:name="xdx_819_zMa4Y0l6kgG9"/>
      <w:bookmarkEnd w:id="804"/>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05" w:name="a_008"/>
      <w:bookmarkEnd w:id="805"/>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of our financial condition and results of operations in conjunction with the unaudited condensed consolidated financial statements and related notes included elsewhere in this Form 10-Q, with the audited condensed consolidated financial statements included in our Annual Report on 10-K filed with the Securities and Exchange Commission (“SEC”) on May 24, 2024 (the “Annual Report”). References in this report (the “Quarterly Report”) to “we”, “us” or the “Company” refer to CXApp Inc. References to our “management” or our “management team” refer to our officers and directors. The following management’s discussion and analysis of financial condition and results of operations describes the principal factors affecting the results of our operations, financial condition, and changes in financial condition for the three months ended March 31,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Our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CXApp SaaS platform offers a suite of leading-edge technology workplace experience solutions including an enterprise employee application, indoor mapping, on-device positioning, augmented reality technologies and an AI-based analytics platform, targeting the emerging hybrid workplace market to provide enhanced experiences across people, places, and things.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creates a connected workplace by reducing app overload, data fragmentation, and complex workflows and streamlines all capabilities through The Workplace SuperApp. All features, services, and integrations are housed in one easy-to-access platform allowing businesses to deliver a more holistic employee experience in a hybrid workplace.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CXApp and subsidiaries were wholly owned subsidiary of Inpixon (“Inpixon”) and the Company’s financial statements consist of Design Reactor, Inpixon Canada, Inpixon Philippines and select assets, liabilities, revenues and expenses of Inpixon and Inpixon India (collectively the “Company,” “we,” “us” or “our”), show the historical combined carve-out financial position, results of operations, changes in net investment and cash flows of the Company and should be read in conjunction with the accompanying notes thereto. The Company’s combined carve-out financial statements do not necessarily reflect what the results of operations, financial position, or cash flows would have been had the Company been a separate entity nor are they indicative of future results of the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carve-out operating results of the Company have been specifically identified based on the Company’s existing divisional organization. The majority of the assets and liabilities of the Company have been identified based on the existing divisional structure. The historical costs and expenses reflected in the Company’s financial statements include an allocation for certain corporate and shared service functions. Management believes the assumptions underlying our combined carve-out financial statements are reasonable. Nevertheless, our combined carve-out financial statements may not include all of the actual expenses that would have been incurred had we operated as a standalone company during the periods presented and may not reflect our results of operations, financial position and cash flows had we operated as a standalone company during the periods presented. Actual costs that would have been incurred if we had operated as a standalone company would depend on multiple factors, including organizational structure and strategic decisions made in various areas, including information technology and infrastructure. We also may incur additional costs associated with being a standalone, publicly listed company that were not included in the expense allocations and, therefore, would result in additional costs that are not reflected in our historical results of operations, financial position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2022, an Agreement and Plan of Merger (the “Merger Agreement”), was entered into by and among Inpixon, KINS Technology Group Inc., a Delaware corporation (“KINS”), CXApp Holding Corp., a Delaware corporation and newly formed wholly owned subsidiary of Inpixon (“CXApp”), and KINS Merger Sub Inc., a Delaware corporation and a wholly-owned subsidiary of KINS (“Merger Sub”), pursuant to which KINS acquired Inpixon’s enterprise apps business (including its workplace experience technologies, indoor mapping, events platform, augmented reality and related business solutions) (the “Enterprise Apps Business”) in exchange for the issuance of shares of KINS capital stock valued at $69,928 thousand (the “Business Combination”). The transaction closed on March 14,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Merger and pursuant to a Separation and Distribution Agreement, dated as of September 25, 2022, among KINS, Inpixon, CXApp and Design Reactor, (the “Separation Agreement”), and other ancillary conveyance documents, Inpixon, among other things and on the terms and subject to the conditions of the Separation Agreement, transferred the Enterprise Apps Business, including certain related subsidiaries of Inpixon, including Design Reactor, to CXApp (the “Reorganization”). Following the Reorganization, Inpixon distributed 100% of the common stock of CXApp, par value $0.0001, to certain holders of Inpixon securities as of the record date (the “Spin-Off”).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Spin-Off, in accordance with and subject to the terms and conditions of the Merger Agreement, Merger Sub merged with and into CXApp (the “Merger”), with CXApp continuing as the surviving company and as a wholly-owned subsidiary of KINS.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along with the Separation and Distribution Agreement and the other transaction documents entered into in connection therewith, provided for, among other things, the consummation of the following transactions: (i) Inpixon transferred the Enterprise Apps Business (the “Separation”) to its wholly-owned subsidiary, CXApp, and contributed approximately $4 million in additional cash so that CXApp would have a minimum of $10 million in cash and cash equivalents as of the closing of the Business Combination before deduction of expenses (the “Cash Contribution”), (ii) following the Separation, Inpixon distributed 100% of the shares of CXApp Common Stock to Inpixon securityholders by way of the Distribution and (iii) following the completion of the foregoing transactions and subject to the satisfaction or waiver of certain other conditions set forth in the Merger Agreement, the parties consummated the Merger. The Separation, Distribution and Merger were intended to qualify as “tax-free”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Business Combination was effected (the “Closing”), the outstanding shares of CXApp Common Stock after the Distribution and immediately prior to the effective time of the Merger were converted into an aggregate of 7,035,000 shares of KINS Common Stock which was issued to Inpixon securityholders, subject to adjustment. Each holder’s aggregate merger consideration consisted of approximately 22% KINS Class A Common Stock and approximately 78% KINS Class C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in connection with the consummation of the Business Combination and as contemplated by the Separation Agreement, CXApp, Legacy CXApp and Inpixon entered into the Tax Matters Agreement (the “Tax Matters Agreement”) which governs each party’s respective rights, responsibilities and obligations with respect to tax liabilities and benefits, tax attributes, the preparation and filing of tax returns, the control of audits and other tax proceedings and certain other matters regarding taxes.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results of operations for the three months ended March 31, 2024 (Successor), for the period from March 15, 2023 to March 31, 2023 (Successor), and for the period from January 1, 2023 to March 14, 2023 (Predecessor)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This data should be read together with our unaudited financial statements and related notes.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80"/>
        <w:gridCol w:w="60"/>
        <w:gridCol w:w="340"/>
        <w:gridCol w:w="1549"/>
        <w:gridCol w:w="95"/>
        <w:gridCol w:w="60"/>
        <w:gridCol w:w="298"/>
        <w:gridCol w:w="1193"/>
        <w:gridCol w:w="95"/>
        <w:gridCol w:w="60"/>
        <w:gridCol w:w="281"/>
        <w:gridCol w:w="1280"/>
        <w:gridCol w:w="114"/>
      </w:tblGrid>
      <w:tr>
        <w:trPr/>
        <w:tc>
          <w:tcPr>
            <w:tcW w:w="4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5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5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r>
          </w:p>
        </w:tc>
        <w:tc>
          <w:tcPr>
            <w:tcW w:w="114" w:type="dxa"/>
            <w:tcBorders/>
            <w:vAlign w:val="center"/>
          </w:tcPr>
          <w:p>
            <w:pPr>
              <w:pStyle w:val="TableContents"/>
              <w:bidi w:val="0"/>
              <w:spacing w:before="0" w:after="283"/>
              <w:jc w:val="center"/>
              <w:rPr/>
            </w:pPr>
            <w:r>
              <w:rPr/>
              <w:t> </w:t>
            </w:r>
          </w:p>
        </w:tc>
      </w:tr>
      <w:tr>
        <w:trPr/>
        <w:tc>
          <w:tcPr>
            <w:tcW w:w="4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535" w:type="dxa"/>
            <w:gridSpan w:val="6"/>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561"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center"/>
              <w:rPr/>
            </w:pPr>
            <w:r>
              <w:rPr/>
              <w:t> </w:t>
            </w:r>
          </w:p>
        </w:tc>
      </w:tr>
      <w:tr>
        <w:trPr/>
        <w:tc>
          <w:tcPr>
            <w:tcW w:w="4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March 15, 2023</w:t>
              <w:br/>
              <w:t>to</w:t>
              <w:br/>
              <w:t>March 31,</w:t>
              <w:br/>
              <w:t>2023</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5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January 1, 2023</w:t>
              <w:br/>
              <w:t>to</w:t>
              <w:br/>
              <w:t>March 14,</w:t>
              <w:br/>
              <w:t>2023</w:t>
            </w:r>
          </w:p>
        </w:tc>
        <w:tc>
          <w:tcPr>
            <w:tcW w:w="114" w:type="dxa"/>
            <w:tcBorders/>
            <w:vAlign w:val="center"/>
          </w:tcPr>
          <w:p>
            <w:pPr>
              <w:pStyle w:val="TableContents"/>
              <w:bidi w:val="0"/>
              <w:spacing w:before="0" w:after="283"/>
              <w:ind w:left="0" w:right="0" w:hanging="180"/>
              <w:jc w:val="center"/>
              <w:rPr/>
            </w:pPr>
            <w:r>
              <w:rPr/>
              <w:t> </w:t>
            </w:r>
          </w:p>
        </w:tc>
      </w:tr>
      <w:tr>
        <w:trPr/>
        <w:tc>
          <w:tcPr>
            <w:tcW w:w="4780" w:type="dxa"/>
            <w:tcBorders/>
            <w:shd w:fill="CCEEFF" w:val="clear"/>
            <w:vAlign w:val="center"/>
          </w:tcPr>
          <w:p>
            <w:pPr>
              <w:pStyle w:val="TableContents"/>
              <w:bidi w:val="0"/>
              <w:spacing w:before="0" w:after="283"/>
              <w:jc w:val="left"/>
              <w:rPr>
                <w:b/>
              </w:rPr>
            </w:pPr>
            <w:r>
              <w:rPr>
                <w:b/>
              </w:rPr>
              <w:t>Condensed Consolidated Statements of Operations Data</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4780"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w:t>
            </w:r>
          </w:p>
        </w:tc>
        <w:tc>
          <w:tcPr>
            <w:tcW w:w="1549" w:type="dxa"/>
            <w:tcBorders/>
            <w:shd w:fill="FFFFFF" w:val="clear"/>
            <w:vAlign w:val="center"/>
          </w:tcPr>
          <w:p>
            <w:pPr>
              <w:pStyle w:val="TableContents"/>
              <w:bidi w:val="0"/>
              <w:spacing w:before="0" w:after="283"/>
              <w:jc w:val="right"/>
              <w:rPr/>
            </w:pPr>
            <w:r>
              <w:rPr/>
              <w:t>1,818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w:t>
            </w:r>
          </w:p>
        </w:tc>
        <w:tc>
          <w:tcPr>
            <w:tcW w:w="1193"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1,620</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478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483</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478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1,491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255</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1,137</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478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5,078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742</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5,518</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478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pPr>
            <w:r>
              <w:rPr/>
              <w:t>(3,587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(487</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(4,381</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478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549" w:type="dxa"/>
            <w:tcBorders/>
            <w:shd w:fill="CCEEFF" w:val="clear"/>
            <w:vAlign w:val="center"/>
          </w:tcPr>
          <w:p>
            <w:pPr>
              <w:pStyle w:val="TableContents"/>
              <w:bidi w:val="0"/>
              <w:spacing w:before="0" w:after="283"/>
              <w:jc w:val="right"/>
              <w:rPr/>
            </w:pPr>
            <w:r>
              <w:rPr/>
              <w:t>(1,790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1,685</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478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3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9" w:type="dxa"/>
            <w:tcBorders>
              <w:bottom w:val="single" w:sz="8" w:space="0" w:color="000000"/>
            </w:tcBorders>
            <w:shd w:fill="FFFFFF" w:val="clear"/>
            <w:tcMar>
              <w:bottom w:w="28" w:type="dxa"/>
            </w:tcMar>
            <w:vAlign w:val="center"/>
          </w:tcPr>
          <w:p>
            <w:pPr>
              <w:pStyle w:val="TableContents"/>
              <w:bidi w:val="0"/>
              <w:spacing w:before="0" w:after="283"/>
              <w:jc w:val="right"/>
              <w:rPr/>
            </w:pPr>
            <w:r>
              <w:rPr/>
              <w:t>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1,560</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478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3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49" w:type="dxa"/>
            <w:tcBorders>
              <w:bottom w:val="double" w:sz="6" w:space="0" w:color="000000"/>
            </w:tcBorders>
            <w:shd w:fill="CCEEFF" w:val="clear"/>
            <w:tcMar>
              <w:bottom w:w="28" w:type="dxa"/>
            </w:tcMar>
            <w:vAlign w:val="center"/>
          </w:tcPr>
          <w:p>
            <w:pPr>
              <w:pStyle w:val="TableContents"/>
              <w:bidi w:val="0"/>
              <w:spacing w:before="0" w:after="283"/>
              <w:jc w:val="right"/>
              <w:rPr/>
            </w:pPr>
            <w:r>
              <w:rPr/>
              <w:t>(5,170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2,758</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(4,380</w:t>
            </w:r>
          </w:p>
        </w:tc>
        <w:tc>
          <w:tcPr>
            <w:tcW w:w="114"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revenue from subscription software as a service (SaaS), design, deployment and implementation services for its enterprise apps business. Revenue was $1,818 thousand for the three months ended March 31, 2024 (Successor), compared to $342 thousand and $1,620 thousand for the period from March 15, 2023 to March 31, 2023 (Successor) and the period from January 1, 2023 to March 14, 2023 (Predecessor), respectively. The decrease in revenue of $144 thousand, for the comparative quarters ended March 31, 2024 and March 31, 2023, was due to a decline in Professional Services revenue. Professional services are related to integration works and other services that may be requested by the customer and as such the decline in revenue is attributable to the professional services revenue because the Company has moved to a full SaaS model versus one-time professional fees.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subscription-based revenue was 87% of the total revenue for the three months ended March 31, 2024 (Successor) and 74% for the three months ended March 31, 2023 (Successor), which is a 13% increase in the revenue mix.</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includes the direct costs to deliver the services including labor and overhead. Cost of revenues were $327 thousand for the three months ended March 31, 2024 (Successor), compared to $87 thousand and $483 thousand for the period from March 15, 2023 to March 31, 2023 (Successor) and the period from January 1, 2023 to March 14, 2023 (Predecessor), respectively. The gross profit margin was 82% for the three months ended March 31, 2024 (Successor), compared to 75% and 70% for the period from March 15, 2023 to March 31, 2023 (Successor) and the period from January 1, 2023 to March 14, 2023 (Predecessor), respectively. This decrease in cost of revenues of approximately $243 thousand, or approximately 43%, for the comparative periods ended March 31, 2024 and March 31, 2023, was attributable to the decrease in professional services revenue related costs.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consist primarily of research and development costs, sales and marketing costs, and general and administrative costs. These operating expenses were $5,078 thousand for the three months ended March 31, 2024 (Successor), compared to $742 thousand and $5,518 thousand for the period from March 15, 2023 to March 31, 2023 (Successor) and the period from January 1, 2023 to March 14, 2023 (Predecessor), respectively. The decrease in operating expenses of $1,182 thousand for the same comparative quarter was attributable to decrease in general and administrative expenses of $852 thousand, amortization of intangibles of $239 thousand, and other operating expenses of approximately $91 thousand.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Income/(Expense)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 was a $1,790 thousand expense, $1,685 thousand income, and $1 thousand income for the three months ended March 31, 2024 (Successor), for the period from March 15, 2023 to March 31, 2023 (Successor), and the period from January 1, 2023 to March 14, 2023 (Predecessor), respectively. This decrease in other income was primarily attributable to changes in fair value of derivative warrant liabilities of $1,472 thousand during the three months ended March 31, 2024 (Successor).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for Income Taxes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an income tax benefit of approximately $207 thousand for the three months ended March 31, 2024 (Successor), compared to $1,560 thousand and $0 thousand for the period from March 15, 2023 to March 31, 2023 (Successor) and the period from January 1, 2023 to March 14, 2023 (Predecessor), respectively. The income tax benefit for the three months ended March 31, 2023 (Successor) is primarily a result of the release of valuation allowance attributable to acquired intangible assets from the Business Combination recorded in the first quarter of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a non-GAAP measure that we use to supplement our results presented in accordance with U.S. GAAP. EBITDA is defined as earnings before interest and other income, taxes, depreciation and amortization. Adjusted EBITDA is used by our management as the matrix in which it manages the business. It is defined as EBITDA plus adjustments for other income or expense items, non- recurring items and non-cash stock-based compensation.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non-GAAP measure excludes certain items required by U.S. GAAP and should not be considered as an alternative to information reported in accordance with U.S. GAAP. The table below presents our adjusted EBITDA, reconciled to net income, which is the most comparable GAAP measure, for the periods indicated (in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7"/>
        <w:gridCol w:w="60"/>
        <w:gridCol w:w="341"/>
        <w:gridCol w:w="1550"/>
        <w:gridCol w:w="95"/>
        <w:gridCol w:w="60"/>
        <w:gridCol w:w="269"/>
        <w:gridCol w:w="1223"/>
        <w:gridCol w:w="95"/>
        <w:gridCol w:w="60"/>
        <w:gridCol w:w="245"/>
        <w:gridCol w:w="1117"/>
        <w:gridCol w:w="113"/>
      </w:tblGrid>
      <w:tr>
        <w:trPr/>
        <w:tc>
          <w:tcPr>
            <w:tcW w:w="497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5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right w:val="single" w:sz="8" w:space="0" w:color="000000"/>
            </w:tcBorders>
            <w:tcMar>
              <w:right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r>
          </w:p>
        </w:tc>
        <w:tc>
          <w:tcPr>
            <w:tcW w:w="113" w:type="dxa"/>
            <w:tcBorders/>
            <w:vAlign w:val="center"/>
          </w:tcPr>
          <w:p>
            <w:pPr>
              <w:pStyle w:val="TableContents"/>
              <w:bidi w:val="0"/>
              <w:spacing w:before="0" w:after="283"/>
              <w:ind w:left="0" w:right="0" w:hanging="180"/>
              <w:jc w:val="center"/>
              <w:rPr/>
            </w:pPr>
            <w:r>
              <w:rPr/>
              <w:t> </w:t>
            </w:r>
          </w:p>
        </w:tc>
      </w:tr>
      <w:tr>
        <w:trPr/>
        <w:tc>
          <w:tcPr>
            <w:tcW w:w="4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March 15, 2023</w:t>
              <w:br/>
              <w:t>to</w:t>
              <w:br/>
              <w:t>March 31,</w:t>
              <w:br/>
              <w:t>2023</w:t>
            </w:r>
          </w:p>
        </w:tc>
        <w:tc>
          <w:tcPr>
            <w:tcW w:w="95" w:type="dxa"/>
            <w:tcBorders>
              <w:right w:val="single" w:sz="8" w:space="0" w:color="000000"/>
            </w:tcBorders>
            <w:tcMar>
              <w:right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1, 2023</w:t>
              <w:br/>
              <w:t>to</w:t>
              <w:br/>
              <w:t>March 14,</w:t>
              <w:br/>
              <w:t>2023</w:t>
            </w:r>
          </w:p>
        </w:tc>
        <w:tc>
          <w:tcPr>
            <w:tcW w:w="113" w:type="dxa"/>
            <w:tcBorders/>
            <w:vAlign w:val="center"/>
          </w:tcPr>
          <w:p>
            <w:pPr>
              <w:pStyle w:val="TableContents"/>
              <w:bidi w:val="0"/>
              <w:spacing w:before="0" w:after="0"/>
              <w:ind w:left="0" w:right="0" w:hanging="180"/>
              <w:jc w:val="center"/>
              <w:rPr>
                <w:caps w:val="false"/>
                <w:smallCaps w:val="false"/>
              </w:rPr>
            </w:pPr>
            <w:r>
              <w:rPr>
                <w:caps w:val="false"/>
                <w:smallCaps w:val="false"/>
              </w:rPr>
              <w:t> </w:t>
            </w:r>
          </w:p>
        </w:tc>
      </w:tr>
      <w:tr>
        <w:trPr/>
        <w:tc>
          <w:tcPr>
            <w:tcW w:w="4977"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550" w:type="dxa"/>
            <w:tcBorders/>
            <w:shd w:fill="CCEEFF" w:val="clear"/>
            <w:vAlign w:val="center"/>
          </w:tcPr>
          <w:p>
            <w:pPr>
              <w:pStyle w:val="TableContents"/>
              <w:bidi w:val="0"/>
              <w:spacing w:before="0" w:after="283"/>
              <w:jc w:val="right"/>
              <w:rPr/>
            </w:pPr>
            <w:r>
              <w:rPr/>
              <w:t>(5,170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2,758</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17" w:type="dxa"/>
            <w:tcBorders/>
            <w:shd w:fill="CCEEFF" w:val="clear"/>
            <w:vAlign w:val="center"/>
          </w:tcPr>
          <w:p>
            <w:pPr>
              <w:pStyle w:val="TableContents"/>
              <w:bidi w:val="0"/>
              <w:spacing w:before="0" w:after="283"/>
              <w:jc w:val="right"/>
              <w:rPr/>
            </w:pPr>
            <w:r>
              <w:rPr/>
              <w:t>(4,380</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4977" w:type="dxa"/>
            <w:tcBorders/>
            <w:shd w:fill="FFFFFF" w:val="clear"/>
            <w:vAlign w:val="center"/>
          </w:tcPr>
          <w:p>
            <w:pPr>
              <w:pStyle w:val="TableContents"/>
              <w:bidi w:val="0"/>
              <w:spacing w:before="0" w:after="283"/>
              <w:jc w:val="left"/>
              <w:rPr/>
            </w:pPr>
            <w:r>
              <w:rPr/>
              <w:t>Interest and other income</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4977" w:type="dxa"/>
            <w:tcBorders/>
            <w:shd w:fill="CCEEFF" w:val="clear"/>
            <w:vAlign w:val="center"/>
          </w:tcPr>
          <w:p>
            <w:pPr>
              <w:pStyle w:val="TableContents"/>
              <w:bidi w:val="0"/>
              <w:spacing w:before="0" w:after="283"/>
              <w:jc w:val="left"/>
              <w:rPr/>
            </w:pPr>
            <w:r>
              <w:rPr/>
              <w:t>Income tax (benefit)/provision</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(207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(1,560</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4977"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0" w:type="dxa"/>
            <w:tcBorders>
              <w:bottom w:val="single" w:sz="8" w:space="0" w:color="000000"/>
            </w:tcBorders>
            <w:shd w:fill="FFFFFF" w:val="clear"/>
            <w:tcMar>
              <w:bottom w:w="28" w:type="dxa"/>
            </w:tcMar>
            <w:vAlign w:val="center"/>
          </w:tcPr>
          <w:p>
            <w:pPr>
              <w:pStyle w:val="TableContents"/>
              <w:bidi w:val="0"/>
              <w:spacing w:before="0" w:after="283"/>
              <w:jc w:val="right"/>
              <w:rPr/>
            </w:pPr>
            <w:r>
              <w:rPr/>
              <w:t>705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120</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FFFFFF" w:val="clear"/>
            <w:tcMar>
              <w:bottom w:w="28" w:type="dxa"/>
            </w:tcMar>
            <w:vAlign w:val="center"/>
          </w:tcPr>
          <w:p>
            <w:pPr>
              <w:pStyle w:val="TableContents"/>
              <w:bidi w:val="0"/>
              <w:spacing w:before="0" w:after="283"/>
              <w:jc w:val="right"/>
              <w:rPr/>
            </w:pPr>
            <w:r>
              <w:rPr/>
              <w:t>1,034</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4977"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(4,410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1,319</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(3,347</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4977" w:type="dxa"/>
            <w:tcBorders/>
            <w:shd w:fill="FFFFFF" w:val="clear"/>
            <w:vAlign w:val="center"/>
          </w:tcPr>
          <w:p>
            <w:pPr>
              <w:pStyle w:val="TableContents"/>
              <w:bidi w:val="0"/>
              <w:spacing w:before="0" w:after="283"/>
              <w:jc w:val="left"/>
              <w:rPr/>
            </w:pPr>
            <w:r>
              <w:rPr/>
              <w:t>Adjusted for:</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4977" w:type="dxa"/>
            <w:tcBorders/>
            <w:shd w:fill="CCEEFF" w:val="clear"/>
            <w:vAlign w:val="center"/>
          </w:tcPr>
          <w:p>
            <w:pPr>
              <w:pStyle w:val="TableContents"/>
              <w:bidi w:val="0"/>
              <w:spacing w:before="0" w:after="283"/>
              <w:jc w:val="left"/>
              <w:rPr/>
            </w:pPr>
            <w:r>
              <w:rPr/>
              <w:t>Changes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1,472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(1,686</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4977" w:type="dxa"/>
            <w:tcBorders/>
            <w:shd w:fill="FFFFFF" w:val="clear"/>
            <w:vAlign w:val="center"/>
          </w:tcPr>
          <w:p>
            <w:pPr>
              <w:pStyle w:val="TableContents"/>
              <w:bidi w:val="0"/>
              <w:spacing w:before="0" w:after="283"/>
              <w:jc w:val="left"/>
              <w:rPr/>
            </w:pPr>
            <w:r>
              <w:rPr/>
              <w:t>Unrealized (gains) losses</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3</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(32</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4977" w:type="dxa"/>
            <w:tcBorders/>
            <w:shd w:fill="CCEEFF" w:val="clear"/>
            <w:vAlign w:val="center"/>
          </w:tcPr>
          <w:p>
            <w:pPr>
              <w:pStyle w:val="TableContents"/>
              <w:bidi w:val="0"/>
              <w:spacing w:before="0" w:after="283"/>
              <w:jc w:val="left"/>
              <w:rPr/>
            </w:pPr>
            <w:r>
              <w:rPr/>
              <w:t>Stock-based compensation - compensation and related benefits</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0" w:type="dxa"/>
            <w:tcBorders>
              <w:bottom w:val="single" w:sz="8" w:space="0" w:color="000000"/>
            </w:tcBorders>
            <w:shd w:fill="CCEEFF" w:val="clear"/>
            <w:tcMar>
              <w:bottom w:w="28" w:type="dxa"/>
            </w:tcMar>
            <w:vAlign w:val="center"/>
          </w:tcPr>
          <w:p>
            <w:pPr>
              <w:pStyle w:val="TableContents"/>
              <w:bidi w:val="0"/>
              <w:spacing w:before="0" w:after="283"/>
              <w:jc w:val="right"/>
              <w:rPr/>
            </w:pPr>
            <w:r>
              <w:rPr/>
              <w:t>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pPr>
            <w:r>
              <w:rPr/>
              <w:t>158</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4977"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50" w:type="dxa"/>
            <w:tcBorders>
              <w:bottom w:val="double" w:sz="6" w:space="0" w:color="000000"/>
            </w:tcBorders>
            <w:shd w:fill="FFFFFF" w:val="clear"/>
            <w:tcMar>
              <w:bottom w:w="28" w:type="dxa"/>
            </w:tcMar>
            <w:vAlign w:val="center"/>
          </w:tcPr>
          <w:p>
            <w:pPr>
              <w:pStyle w:val="TableContents"/>
              <w:bidi w:val="0"/>
              <w:spacing w:before="0" w:after="283"/>
              <w:jc w:val="right"/>
              <w:rPr/>
            </w:pPr>
            <w:r>
              <w:rPr/>
              <w:t>(2,281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pPr>
            <w:r>
              <w:rPr/>
              <w:t>(362</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jc w:val="right"/>
              <w:rPr/>
            </w:pPr>
            <w:r>
              <w:rPr/>
              <w:t>(3,221</w:t>
            </w:r>
          </w:p>
        </w:tc>
        <w:tc>
          <w:tcPr>
            <w:tcW w:w="113"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Adjusted EBITDA, which is a non-GAAP financial measure for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To compare our current operating results with corresponding periods and with the operating results of other companies in our industry;</w:t>
            </w:r>
          </w:p>
        </w:tc>
      </w:tr>
    </w:tbl>
    <w:p>
      <w:pPr>
        <w:pStyle w:val="TextBody"/>
        <w:bidi w:val="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17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5090" w:type="dxa"/>
            <w:tcBorders/>
            <w:vAlign w:val="center"/>
          </w:tcPr>
          <w:p>
            <w:pPr>
              <w:pStyle w:val="TableContents"/>
              <w:bidi w:val="0"/>
              <w:spacing w:before="0" w:after="283"/>
              <w:jc w:val="both"/>
              <w:rPr/>
            </w:pPr>
            <w:r>
              <w:rPr/>
              <w:t>As a basis for allocating resources to various projects;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As a measure to evaluate potential economic outcomes of acquisitions, operational alternatives and strategic decisions; and</w:t>
            </w:r>
          </w:p>
        </w:tc>
      </w:tr>
    </w:tbl>
    <w:p>
      <w:pPr>
        <w:pStyle w:val="TextBody"/>
        <w:bidi w:val="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5345" w:type="dxa"/>
            <w:tcBorders/>
            <w:vAlign w:val="center"/>
          </w:tcPr>
          <w:p>
            <w:pPr>
              <w:pStyle w:val="TableContents"/>
              <w:bidi w:val="0"/>
              <w:spacing w:before="0" w:after="283"/>
              <w:jc w:val="both"/>
              <w:rPr/>
            </w:pPr>
            <w:r>
              <w:rPr/>
              <w:t>To evaluate internally the performance of our personnel.</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presented Adjusted EBITDA above because we believe it conveys useful information to investors regarding our operating results. We believe it provides an additional way for investors to view our operations, when considered with both our GAAP results and the reconciliation to net income (loss). By including this information, we can provide investors with a more complete understanding of our business. Specifically, we present Adjusted EBITDA as supplemental disclosure because of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Adjusted EBITDA is a useful tool for investors to assess the operating performance of our business without the effect of interest, income taxes, depreciation and amortization and other non- cash items including acquisition transaction and financing costs, impairment, unrealized gains, stock based compensation, interest income and expense, and income tax benefit.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it is useful to provide to investors with a standard operating metric used by management to evaluate our operating performance; and</w:t>
            </w:r>
          </w:p>
        </w:tc>
      </w:tr>
    </w:tbl>
    <w:p>
      <w:pPr>
        <w:pStyle w:val="TextBody"/>
        <w:bidi w:val="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use of Adjusted EBITDA is helpful to compare our results to other companies.</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we believe Adjusted EBITDA is useful for investors, it does have limitations as an analytical tool. Thus, we strongly urge investors not to consider this metric in isolation or as a substitute for net income (loss) and the other condensed consolidated statement of operations data prepared in accordance with GAAP. Some of these limitations include the fact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p>
      <w:pPr>
        <w:pStyle w:val="TextBody"/>
        <w:bidi w:val="0"/>
        <w:jc w:val="both"/>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significant interest expense or the cash requirements necessary to service interest or principal payments on our debt;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Adjusted EBITDA does not reflect any cash requirements for such replacements;</w:t>
            </w:r>
          </w:p>
        </w:tc>
      </w:tr>
    </w:tbl>
    <w:p>
      <w:pPr>
        <w:pStyle w:val="TextBody"/>
        <w:bidi w:val="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or other taxes or the cash requirements to make any tax payments;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Adjusted EBITDA differently than we do, thereby potentially limiting its usefulness as a comparative measure.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not be considered a measure of discretionary cash available to us to invest in the growth of our business or as a measure of performance in compliance with GAAP. We compensate for these limitations by relying primarily on our GAAP results and providing Adjusted EBITDA only as supplemental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Obligations and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15, 2024, the Company owed approximately $3,885 thousand in principal and accrued interest payable of $165 thousand payable within the next nine months. The interest rate is 10%. See Note 10 of the 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three months ended March 31, 2024 (Successor) of $650 thousand consists of net loss of $5,170 thousand offset by non-cash adjustments of approximately $3,051 thousand and net cash changes in operating assets and liabilities of approximately $1,469 thousand. We entered into an equity line financing agreement on May 22, 2024 for up to $10,000 thousand, with an initial draw of $2,500 thousand in the second quarter of 2024. Given our current cash balances and budgeted cash flow requirements, the Company believes such funds are sufficient to satisfy its working capital needs, capital asset purchases, debt repayments and other liquidity requirements associated with its existing operations for the next 12 months from the issuance date of the financial statements. The Company may continue to pursue strategic transactions and may raise additional capital as needed, using our equity securities and/or cash and debt financings in combinations appropriate for each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as of March 31, 2024 Compared With March 31,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(Successor), the Company has a working capital deficiency of approximately $5,280 thousand and cash of approximately $5,603 thousand. For the three months ended March 31, 2024 (Successor), the Company incurred net loss of approximately $5,170 thousand and used approximately $650 thousand of cash for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believes that the current liquidity position, including the cash raised under the promissory note of $3,000 thousand payable by December 2024, and the equity line financing agreement we entered into on May 22, 2024 for up to $10,000 thousand, with an initial draw of $2,500 thousand in the second quarter of 2024, has the ability to mitigate any going concern indicators for a period of at least one year from the date these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cash flows used in operating, investing and financing activities and certain balances are as follows (in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06"/>
        <w:gridCol w:w="60"/>
        <w:gridCol w:w="468"/>
        <w:gridCol w:w="1528"/>
        <w:gridCol w:w="95"/>
        <w:gridCol w:w="60"/>
        <w:gridCol w:w="278"/>
        <w:gridCol w:w="1267"/>
        <w:gridCol w:w="95"/>
        <w:gridCol w:w="60"/>
        <w:gridCol w:w="248"/>
        <w:gridCol w:w="1131"/>
        <w:gridCol w:w="109"/>
      </w:tblGrid>
      <w:tr>
        <w:trPr/>
        <w:tc>
          <w:tcPr>
            <w:tcW w:w="480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36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r>
          </w:p>
        </w:tc>
        <w:tc>
          <w:tcPr>
            <w:tcW w:w="109" w:type="dxa"/>
            <w:tcBorders/>
            <w:vAlign w:val="center"/>
          </w:tcPr>
          <w:p>
            <w:pPr>
              <w:pStyle w:val="TableContents"/>
              <w:bidi w:val="0"/>
              <w:spacing w:before="0" w:after="283"/>
              <w:ind w:left="0" w:right="0" w:hanging="180"/>
              <w:jc w:val="center"/>
              <w:rPr/>
            </w:pPr>
            <w:r>
              <w:rPr/>
              <w:t> </w:t>
            </w:r>
          </w:p>
        </w:tc>
      </w:tr>
      <w:tr>
        <w:trPr/>
        <w:tc>
          <w:tcPr>
            <w:tcW w:w="48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9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March 15, 2023</w:t>
              <w:br/>
              <w:t>to</w:t>
              <w:br/>
              <w:t>March 31,</w:t>
              <w:br/>
              <w:t>2023</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3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1, 2023</w:t>
              <w:br/>
              <w:t>to</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14,</w:t>
              <w:br/>
              <w:t>2023</w:t>
            </w:r>
          </w:p>
        </w:tc>
        <w:tc>
          <w:tcPr>
            <w:tcW w:w="109" w:type="dxa"/>
            <w:tcBorders/>
            <w:vAlign w:val="center"/>
          </w:tcPr>
          <w:p>
            <w:pPr>
              <w:pStyle w:val="TableContents"/>
              <w:bidi w:val="0"/>
              <w:spacing w:before="0" w:after="283"/>
              <w:ind w:left="0" w:right="0" w:hanging="180"/>
              <w:jc w:val="center"/>
              <w:rPr/>
            </w:pPr>
            <w:r>
              <w:rPr/>
              <w:t> </w:t>
            </w:r>
          </w:p>
        </w:tc>
      </w:tr>
      <w:tr>
        <w:trPr/>
        <w:tc>
          <w:tcPr>
            <w:tcW w:w="4806" w:type="dxa"/>
            <w:tcBorders/>
            <w:shd w:fill="CCEEFF" w:val="clear"/>
            <w:vAlign w:val="center"/>
          </w:tcPr>
          <w:p>
            <w:pPr>
              <w:pStyle w:val="TableContents"/>
              <w:bidi w:val="0"/>
              <w:spacing w:before="0" w:after="283"/>
              <w:jc w:val="left"/>
              <w:rPr>
                <w:b/>
              </w:rPr>
            </w:pPr>
            <w:r>
              <w:rPr>
                <w:b/>
              </w:rPr>
              <w:t>Cash flows (used in) provided by</w:t>
            </w:r>
          </w:p>
        </w:tc>
        <w:tc>
          <w:tcPr>
            <w:tcW w:w="6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15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4806"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w:t>
            </w:r>
          </w:p>
        </w:tc>
        <w:tc>
          <w:tcPr>
            <w:tcW w:w="1528" w:type="dxa"/>
            <w:tcBorders/>
            <w:shd w:fill="FFFFFF" w:val="clear"/>
            <w:vAlign w:val="center"/>
          </w:tcPr>
          <w:p>
            <w:pPr>
              <w:pStyle w:val="TableContents"/>
              <w:bidi w:val="0"/>
              <w:spacing w:before="0" w:after="283"/>
              <w:jc w:val="right"/>
              <w:rPr/>
            </w:pPr>
            <w:r>
              <w:rPr/>
              <w:t>(650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w:t>
            </w:r>
          </w:p>
        </w:tc>
        <w:tc>
          <w:tcPr>
            <w:tcW w:w="1267" w:type="dxa"/>
            <w:tcBorders/>
            <w:shd w:fill="FFFFFF" w:val="clear"/>
            <w:vAlign w:val="center"/>
          </w:tcPr>
          <w:p>
            <w:pPr>
              <w:pStyle w:val="TableContents"/>
              <w:bidi w:val="0"/>
              <w:spacing w:before="0" w:after="283"/>
              <w:jc w:val="right"/>
              <w:rPr/>
            </w:pPr>
            <w:r>
              <w:rPr/>
              <w:t>(4,431</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w:t>
            </w:r>
          </w:p>
        </w:tc>
        <w:tc>
          <w:tcPr>
            <w:tcW w:w="1131" w:type="dxa"/>
            <w:tcBorders/>
            <w:shd w:fill="FFFFFF" w:val="clear"/>
            <w:vAlign w:val="center"/>
          </w:tcPr>
          <w:p>
            <w:pPr>
              <w:pStyle w:val="TableContents"/>
              <w:bidi w:val="0"/>
              <w:spacing w:before="0" w:after="283"/>
              <w:jc w:val="right"/>
              <w:rPr/>
            </w:pPr>
            <w:r>
              <w:rPr/>
              <w:t>(5,144</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4806"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1528"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9,980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(54</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4806" w:type="dxa"/>
            <w:tcBorders/>
            <w:shd w:fill="FFFFFF" w:val="clear"/>
            <w:vAlign w:val="center"/>
          </w:tcPr>
          <w:p>
            <w:pPr>
              <w:pStyle w:val="TableContents"/>
              <w:bidi w:val="0"/>
              <w:spacing w:before="0" w:after="283"/>
              <w:jc w:val="left"/>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8,892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4806" w:type="dxa"/>
            <w:tcBorders/>
            <w:shd w:fill="CCEEFF" w:val="clear"/>
            <w:vAlign w:val="center"/>
          </w:tcPr>
          <w:p>
            <w:pPr>
              <w:pStyle w:val="TableContents"/>
              <w:bidi w:val="0"/>
              <w:spacing w:before="0" w:after="283"/>
              <w:jc w:val="left"/>
              <w:rPr/>
            </w:pPr>
            <w:r>
              <w:rPr/>
              <w:t>Effect of exchange rates on cash</w:t>
            </w:r>
          </w:p>
        </w:tc>
        <w:tc>
          <w:tcPr>
            <w:tcW w:w="60" w:type="dxa"/>
            <w:tcBorders/>
            <w:shd w:fill="CCEEFF" w:val="clear"/>
            <w:vAlign w:val="center"/>
          </w:tcPr>
          <w:p>
            <w:pPr>
              <w:pStyle w:val="TableContents"/>
              <w:bidi w:val="0"/>
              <w:spacing w:before="0" w:after="283"/>
              <w:jc w:val="left"/>
              <w:rPr/>
            </w:pPr>
            <w:r>
              <w:rPr/>
              <w:t> </w:t>
            </w:r>
          </w:p>
        </w:tc>
        <w:tc>
          <w:tcPr>
            <w:tcW w:w="4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8"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4806" w:type="dxa"/>
            <w:tcBorders/>
            <w:shd w:fill="FFFFFF" w:val="clear"/>
            <w:vAlign w:val="center"/>
          </w:tcPr>
          <w:p>
            <w:pPr>
              <w:pStyle w:val="TableContents"/>
              <w:bidi w:val="0"/>
              <w:spacing w:before="0" w:after="283"/>
              <w:jc w:val="left"/>
              <w:rPr>
                <w:b/>
              </w:rPr>
            </w:pPr>
            <w:r>
              <w:rPr>
                <w:b/>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8" w:type="dxa"/>
            <w:tcBorders>
              <w:bottom w:val="double" w:sz="6" w:space="0" w:color="000000"/>
            </w:tcBorders>
            <w:shd w:fill="FFFFFF" w:val="clear"/>
            <w:tcMar>
              <w:bottom w:w="28" w:type="dxa"/>
            </w:tcMar>
            <w:vAlign w:val="center"/>
          </w:tcPr>
          <w:p>
            <w:pPr>
              <w:pStyle w:val="TableContents"/>
              <w:bidi w:val="0"/>
              <w:spacing w:before="0" w:after="283"/>
              <w:jc w:val="right"/>
              <w:rPr/>
            </w:pPr>
            <w:r>
              <w:rPr/>
              <w:t>(672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7" w:type="dxa"/>
            <w:tcBorders>
              <w:bottom w:val="double" w:sz="6" w:space="0" w:color="000000"/>
            </w:tcBorders>
            <w:shd w:fill="FFFFFF" w:val="clear"/>
            <w:tcMar>
              <w:bottom w:w="28" w:type="dxa"/>
            </w:tcMar>
            <w:vAlign w:val="center"/>
          </w:tcPr>
          <w:p>
            <w:pPr>
              <w:pStyle w:val="TableContents"/>
              <w:bidi w:val="0"/>
              <w:spacing w:before="0" w:after="283"/>
              <w:jc w:val="right"/>
              <w:rPr/>
            </w:pPr>
            <w:r>
              <w:rPr/>
              <w:t>5,221</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1" w:type="dxa"/>
            <w:tcBorders>
              <w:bottom w:val="double" w:sz="6" w:space="0" w:color="000000"/>
            </w:tcBorders>
            <w:shd w:fill="FFFFFF" w:val="clear"/>
            <w:tcMar>
              <w:bottom w:w="28" w:type="dxa"/>
            </w:tcMar>
            <w:vAlign w:val="center"/>
          </w:tcPr>
          <w:p>
            <w:pPr>
              <w:pStyle w:val="TableContents"/>
              <w:bidi w:val="0"/>
              <w:spacing w:before="0" w:after="283"/>
              <w:jc w:val="right"/>
              <w:rPr/>
            </w:pPr>
            <w:r>
              <w:rPr/>
              <w:t>3,695</w:t>
            </w:r>
          </w:p>
        </w:tc>
        <w:tc>
          <w:tcPr>
            <w:tcW w:w="109"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094" w:type="dxa"/>
        <w:jc w:val="left"/>
        <w:tblInd w:w="0" w:type="dxa"/>
        <w:tblLayout w:type="fixed"/>
        <w:tblCellMar>
          <w:top w:w="0" w:type="dxa"/>
          <w:left w:w="0" w:type="dxa"/>
          <w:bottom w:w="0" w:type="dxa"/>
          <w:right w:w="0" w:type="dxa"/>
        </w:tblCellMar>
      </w:tblPr>
      <w:tblGrid>
        <w:gridCol w:w="2525"/>
        <w:gridCol w:w="60"/>
        <w:gridCol w:w="193"/>
        <w:gridCol w:w="877"/>
        <w:gridCol w:w="95"/>
        <w:gridCol w:w="60"/>
        <w:gridCol w:w="212"/>
        <w:gridCol w:w="962"/>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10" w:type="dxa"/>
            <w:tcBorders/>
            <w:vAlign w:val="center"/>
          </w:tcPr>
          <w:p>
            <w:pPr>
              <w:pStyle w:val="TableContents"/>
              <w:bidi w:val="0"/>
              <w:spacing w:before="0" w:after="283"/>
              <w:jc w:val="center"/>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6,275</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Working capital deficit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pPr>
            <w:r>
              <w:rPr/>
              <w:t>(5,280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(1,287</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 for the three months ended March 31, 2024 (Successor), for the period from March 15, 2023 to March 31, 2023 (Successor), and the period from January 1, 2023 to March 14, 2023 (Predecessor)</w:t>
      </w:r>
    </w:p>
    <w:p>
      <w:pPr>
        <w:pStyle w:val="TextBody"/>
        <w:bidi w:val="0"/>
        <w:jc w:val="left"/>
        <w:rPr>
          <w:caps w:val="false"/>
          <w:smallCaps w:val="false"/>
        </w:rPr>
      </w:pPr>
      <w:r>
        <w:rPr>
          <w:caps w:val="false"/>
          <w:smallCaps w:val="false"/>
        </w:rPr>
        <w:t> </w:t>
      </w:r>
    </w:p>
    <w:tbl>
      <w:tblPr>
        <w:tblW w:w="9812" w:type="dxa"/>
        <w:jc w:val="left"/>
        <w:tblInd w:w="0" w:type="dxa"/>
        <w:tblLayout w:type="fixed"/>
        <w:tblCellMar>
          <w:top w:w="0" w:type="dxa"/>
          <w:left w:w="0" w:type="dxa"/>
          <w:bottom w:w="0" w:type="dxa"/>
          <w:right w:w="0" w:type="dxa"/>
        </w:tblCellMar>
      </w:tblPr>
      <w:tblGrid>
        <w:gridCol w:w="4205"/>
        <w:gridCol w:w="60"/>
        <w:gridCol w:w="382"/>
        <w:gridCol w:w="1737"/>
        <w:gridCol w:w="95"/>
        <w:gridCol w:w="60"/>
        <w:gridCol w:w="290"/>
        <w:gridCol w:w="1319"/>
        <w:gridCol w:w="95"/>
        <w:gridCol w:w="60"/>
        <w:gridCol w:w="252"/>
        <w:gridCol w:w="1147"/>
        <w:gridCol w:w="110"/>
      </w:tblGrid>
      <w:tr>
        <w:trPr/>
        <w:tc>
          <w:tcPr>
            <w:tcW w:w="420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38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r>
          </w:p>
        </w:tc>
        <w:tc>
          <w:tcPr>
            <w:tcW w:w="110" w:type="dxa"/>
            <w:tcBorders/>
            <w:vAlign w:val="center"/>
          </w:tcPr>
          <w:p>
            <w:pPr>
              <w:pStyle w:val="TableContents"/>
              <w:bidi w:val="0"/>
              <w:spacing w:before="0" w:after="283"/>
              <w:ind w:left="0" w:right="0" w:hanging="180"/>
              <w:jc w:val="center"/>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March 15, 2023</w:t>
              <w:br/>
              <w:t>to</w:t>
              <w:br/>
              <w:t>March 31,</w:t>
              <w:br/>
              <w:t>2023</w:t>
            </w:r>
          </w:p>
        </w:tc>
        <w:tc>
          <w:tcPr>
            <w:tcW w:w="95"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w:t>
              <w:br/>
              <w:t>January 1, 2023</w:t>
              <w:br/>
              <w:t>to</w:t>
              <w:br/>
              <w:t>March 14,</w:t>
              <w:br/>
              <w:t>2023</w:t>
            </w:r>
          </w:p>
        </w:tc>
        <w:tc>
          <w:tcPr>
            <w:tcW w:w="110" w:type="dxa"/>
            <w:tcBorders/>
            <w:vAlign w:val="center"/>
          </w:tcPr>
          <w:p>
            <w:pPr>
              <w:pStyle w:val="TableContents"/>
              <w:bidi w:val="0"/>
              <w:spacing w:before="0" w:after="283"/>
              <w:ind w:left="0" w:right="0" w:hanging="180"/>
              <w:jc w:val="center"/>
              <w:rPr/>
            </w:pPr>
            <w:r>
              <w:rPr/>
              <w:t> </w:t>
            </w:r>
          </w:p>
        </w:tc>
      </w:tr>
      <w:tr>
        <w:trPr/>
        <w:tc>
          <w:tcPr>
            <w:tcW w:w="4205"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w:t>
            </w:r>
          </w:p>
        </w:tc>
        <w:tc>
          <w:tcPr>
            <w:tcW w:w="1737" w:type="dxa"/>
            <w:tcBorders/>
            <w:shd w:fill="CCEEFF" w:val="clear"/>
            <w:vAlign w:val="center"/>
          </w:tcPr>
          <w:p>
            <w:pPr>
              <w:pStyle w:val="TableContents"/>
              <w:bidi w:val="0"/>
              <w:spacing w:before="0" w:after="283"/>
              <w:jc w:val="right"/>
              <w:rPr/>
            </w:pPr>
            <w:r>
              <w:rPr/>
              <w:t>(5,170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2,758</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(4,380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205" w:type="dxa"/>
            <w:tcBorders/>
            <w:shd w:fill="FFFFFF" w:val="clear"/>
            <w:vAlign w:val="center"/>
          </w:tcPr>
          <w:p>
            <w:pPr>
              <w:pStyle w:val="TableContents"/>
              <w:bidi w:val="0"/>
              <w:spacing w:before="0" w:after="283"/>
              <w:jc w:val="left"/>
              <w:rPr/>
            </w:pPr>
            <w:r>
              <w:rPr/>
              <w:t>Non-cash income and expenses</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right"/>
              <w:rPr/>
            </w:pPr>
            <w:r>
              <w:rPr/>
              <w:t>3,051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(3,113</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1,200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205" w:type="dxa"/>
            <w:tcBorders/>
            <w:shd w:fill="CCEEFF" w:val="clear"/>
            <w:vAlign w:val="center"/>
          </w:tcPr>
          <w:p>
            <w:pPr>
              <w:pStyle w:val="TableContents"/>
              <w:bidi w:val="0"/>
              <w:spacing w:before="0" w:after="283"/>
              <w:jc w:val="left"/>
              <w:rPr/>
            </w:pPr>
            <w:r>
              <w:rPr/>
              <w:t>Net 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7" w:type="dxa"/>
            <w:tcBorders>
              <w:bottom w:val="single" w:sz="8" w:space="0" w:color="000000"/>
            </w:tcBorders>
            <w:shd w:fill="CCEEFF" w:val="clear"/>
            <w:tcMar>
              <w:bottom w:w="28" w:type="dxa"/>
            </w:tcMar>
            <w:vAlign w:val="center"/>
          </w:tcPr>
          <w:p>
            <w:pPr>
              <w:pStyle w:val="TableContents"/>
              <w:bidi w:val="0"/>
              <w:spacing w:before="0" w:after="283"/>
              <w:jc w:val="right"/>
              <w:rPr/>
            </w:pPr>
            <w:r>
              <w:rPr/>
              <w:t>1,469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(4,076</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CCEEFF" w:val="clear"/>
            <w:tcMar>
              <w:bottom w:w="28" w:type="dxa"/>
            </w:tcMar>
            <w:vAlign w:val="center"/>
          </w:tcPr>
          <w:p>
            <w:pPr>
              <w:pStyle w:val="TableContents"/>
              <w:bidi w:val="0"/>
              <w:spacing w:before="0" w:after="283"/>
              <w:jc w:val="right"/>
              <w:rPr/>
            </w:pPr>
            <w:r>
              <w:rPr/>
              <w:t>(1,964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20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7" w:type="dxa"/>
            <w:tcBorders>
              <w:bottom w:val="double" w:sz="6" w:space="0" w:color="000000"/>
            </w:tcBorders>
            <w:shd w:fill="FFFFFF" w:val="clear"/>
            <w:tcMar>
              <w:bottom w:w="28" w:type="dxa"/>
            </w:tcMar>
            <w:vAlign w:val="center"/>
          </w:tcPr>
          <w:p>
            <w:pPr>
              <w:pStyle w:val="TableContents"/>
              <w:bidi w:val="0"/>
              <w:spacing w:before="0" w:after="283"/>
              <w:jc w:val="right"/>
              <w:rPr/>
            </w:pPr>
            <w:r>
              <w:rPr/>
              <w:t>(650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pPr>
            <w:r>
              <w:rPr/>
              <w:t>(4,431</w:t>
            </w:r>
          </w:p>
        </w:tc>
        <w:tc>
          <w:tcPr>
            <w:tcW w:w="95" w:type="dxa"/>
            <w:tcBorders/>
            <w:shd w:fill="FFFFFF" w:val="clear"/>
            <w:vAlign w:val="center"/>
          </w:tcPr>
          <w:p>
            <w:pPr>
              <w:pStyle w:val="TableContents"/>
              <w:bidi w:val="0"/>
              <w:spacing w:before="0" w:after="283"/>
              <w:jc w:val="left"/>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FFFFFF" w:val="clear"/>
            <w:tcMar>
              <w:bottom w:w="28" w:type="dxa"/>
            </w:tcMar>
            <w:vAlign w:val="center"/>
          </w:tcPr>
          <w:p>
            <w:pPr>
              <w:pStyle w:val="TableContents"/>
              <w:bidi w:val="0"/>
              <w:spacing w:before="0" w:after="283"/>
              <w:jc w:val="right"/>
              <w:rPr/>
            </w:pPr>
            <w:r>
              <w:rPr/>
              <w:t>(5,144</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 for the three months ended March 31, 2024 (Successor), for the period from March 15, 2023 to March 31, 2023 (Successor), and for the period from January 1, 2023 to March 14, 2023 (Predecessor)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investing activities during the three months ended March 31, 2024 (Successor) was approximately $18 thousand compared to net cash flows used in and provided in investing activities for the period from March 15, 2023 to March 31, 2023 (Successor) and during the period from January 1, 2023 to March 14, 2023 (Predecessor) of approximately thousand $9,980 and $54 thousand, respectively. Cash flows related to investing activities during the three months ended March 31, 2024 (Successor) include $18 thousand for the purchase of property and equipment. Cash flows related to investing activities during the period from March 15, 2023 to March 31, 2023 (Successor) include $23 thousand for the purchase of property and equipment, and $10,003 thousand as cash acquired in connection with Business Combination. Cash flows related to investing activities during the period from January 1, 2023 to March 14, 2023 (Predecessor) include $9 thousand for the purchase of property and equipment, and $45 thousand for the investment in capitalized software.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 for the three months ended March 31, 2024 (Successor), for the period from March 15, 2023 to March 31, 2023 (Successor), and for the period from January 1, 2023 to March 14, 2023 (Predecessor)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cash flow provided by or used in financing activities during three months ended March 31, 2024 (Successor) compared to net cash flows provided by and used in financing activities for the period from March 15, 2023 to March 31, 2024 (Successor) and during the period from January 1, 2023 to March 14, 2023 (Predecessor) of approximately $328 thousand and $8,892 thousand, respectively. During the period from March 15, 2023 to March 31, 2023 (Successor), the Company paid $328 thousand in cash outflows for repayment of related party note. During the period from January 1, 2023 to March 14, 2023 (Predecessor), the Company received $9,089 thousand in incoming cash flows from parent, and paid $197 thousand in cash outflows from a payment of an acquisition liability.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guarantees, interest rate swap transactions or foreign currency contracts. We do not engage in trading activities involving non-exchange traded contracts.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obligations are cash that we are obligated to pay as part of certain contracts that we have entered during our course of business. Our contractual obligations consist of operating lease liabilities that are included in our balance sheet. As of March 31, 2024 (Successor), the total obligation for operating leases is approximately $391 thousand, of which approximately $231 thousand is expected to be paid in the next twelve months.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are prepared in accordance with U.S. Generally Accepted Accounting Principles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unaudited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Critical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discussed in Note 2 of the unaudited condensed consolidated financial statements which are included elsewhere in this filing.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Critical Accounting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judgment, estimate or assumption to be critical when (1) the estimate or assumption is complex in nature or requires a high degree of judgment and (2) the use of different judgments, estimates and assumptions could have a material impact on our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believes there have been no significant changes during the three month period ended March 31, 2024, to the items disclosed as critical accounting estimates in management’s discussion and analysis in the Company’s Annual Report on Form 10-K for the year ended December 31, 2023 that was filed with the SEC on May 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CXApp will be an “emerging growth company” as defined in the JOBS Act. As such, the Company will be eligible to take advantage of certain exemptions from various reporting requirements that apply to other public companies that are not emerging growth companies, including compliance with the auditor attestation requirements of Section 404 of the Sarbanes-Oxley Act and the requirements to hold a non-binding advisory vote on executive compensation and any golden parachute payments not previously approved. The Company has not made a decision whether to take advantage of any or all of these exemptions. If the Company does take advantage of some or all of these exemptions, some investors may find the Company’s common stock less attractive. The result may be a less active trading market for the Company’s common stock and its stock price may be more volatile.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provides that an emerging growth company may take advantage of the extended transition period provided in Section 13(a) of the Securities Exchange Act of 1934, as amended (the “Exchange Act”), for complying with new or revised accounting standards, meaning that CXApp, as an emerging growth company, can delay the adoption of certain accounting standards until those standards would otherwise apply to private companies. The Company has elected to take advantage of this extended transition period, and therefore our financial statements may not be comparable to those of companies that comply with such new or revised accounting standards. Section 107 of the JOBS Act provides that our decision not to opt out of the extended transition period for complying with new or revised accounting standards is irrevocable.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06" w:name="a_009"/>
      <w:bookmarkEnd w:id="806"/>
      <w:r>
        <w:rPr>
          <w:rFonts w:ascii="Times New Roman;Times;Serif" w:hAnsi="Times New Roman;Times;Serif"/>
          <w:b/>
          <w:i w:val="false"/>
          <w:caps w:val="false"/>
          <w:smallCaps w:val="false"/>
          <w:sz w:val="20"/>
        </w:rPr>
        <w:t>Item 3. 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07" w:name="a_010"/>
      <w:bookmarkEnd w:id="807"/>
      <w:r>
        <w:rPr>
          <w:rFonts w:ascii="Times New Roman;Times;Serif" w:hAnsi="Times New Roman;Times;Serif"/>
          <w:b/>
          <w:i w:val="false"/>
          <w:caps w:val="false"/>
          <w:smallCaps w:val="false"/>
          <w:sz w:val="20"/>
        </w:rPr>
        <w:t>Item 4. Controls and Procedures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an evaluation, under the supervision and with the participation of our Chief Executive Officer and Chief Financial Officer, of our disclosure controls and procedures (as defined in Rule 13a-15(e) and Rule 15d-15(e) of the Exchange Act). Based upon this evaluation, our Chief Executive Officer and Chief Financial Officer concluded that our disclosure controls and procedures were not effective as of March 31, 2024. The material weakness and remediation activities were discussed in Part II, Item 9A “Controls and Procedures” of the Company’s 2023 Annual Report filed on May 24,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 13a-15(f) under the Exchange Act) during the three months ended March 31, 2024 (Successor) that have materially affected, or are reasonably likely to materially affect, our internal control over financial reporting.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08" w:name="a_011"/>
      <w:bookmarkEnd w:id="808"/>
      <w:r>
        <w:rPr>
          <w:rFonts w:ascii="Times New Roman;Times;Serif" w:hAnsi="Times New Roman;Times;Serif"/>
          <w:b/>
          <w:i w:val="false"/>
          <w:caps w:val="false"/>
          <w:smallCaps w:val="false"/>
          <w:sz w:val="20"/>
        </w:rPr>
        <w:t>PART II. OTHER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09" w:name="a_012"/>
      <w:bookmarkEnd w:id="809"/>
      <w:r>
        <w:rPr>
          <w:rFonts w:ascii="Times New Roman;Times;Serif" w:hAnsi="Times New Roman;Times;Serif"/>
          <w:b/>
          <w:i w:val="false"/>
          <w:caps w:val="false"/>
          <w:smallCaps w:val="false"/>
          <w:sz w:val="20"/>
        </w:rPr>
        <w:t>Item 1. 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material litigation, arbitration or governmental proceeding currently pending against CXApp or any members of its management team in their capacity as such.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0" w:name="a_013"/>
      <w:bookmarkEnd w:id="810"/>
      <w:r>
        <w:rPr>
          <w:rFonts w:ascii="Times New Roman;Times;Serif" w:hAnsi="Times New Roman;Times;Serif"/>
          <w:b/>
          <w:i w:val="false"/>
          <w:caps w:val="false"/>
          <w:smallCaps w:val="false"/>
          <w:sz w:val="20"/>
        </w:rPr>
        <w:t>Item 1A. Risk Factors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in this Quarterly Report include the risk factors described in the Annual Report on Form 10-K filed with the SEC. As of the date of this Quarterly Report, there have been no material changes to the risk factors disclosed in our Annual Report on Form 10-K filed with the SEC.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1" w:name="a_014"/>
      <w:bookmarkEnd w:id="811"/>
      <w:r>
        <w:rPr>
          <w:rFonts w:ascii="Times New Roman;Times;Serif" w:hAnsi="Times New Roman;Times;Serif"/>
          <w:b/>
          <w:i w:val="false"/>
          <w:caps w:val="false"/>
          <w:smallCaps w:val="false"/>
          <w:sz w:val="20"/>
        </w:rPr>
        <w:t>Item 2. Unregistered Sales of Equity Securities and 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2" w:name="a_015"/>
      <w:bookmarkEnd w:id="812"/>
      <w:r>
        <w:rPr>
          <w:rFonts w:ascii="Times New Roman;Times;Serif" w:hAnsi="Times New Roman;Times;Serif"/>
          <w:b/>
          <w:i w:val="false"/>
          <w:caps w:val="false"/>
          <w:smallCaps w:val="false"/>
          <w:sz w:val="20"/>
        </w:rPr>
        <w:t>Item 3. Defaults Upon Senior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3" w:name="a_016"/>
      <w:bookmarkEnd w:id="813"/>
      <w:r>
        <w:rPr>
          <w:rFonts w:ascii="Times New Roman;Times;Serif" w:hAnsi="Times New Roman;Times;Serif"/>
          <w:b/>
          <w:i w:val="false"/>
          <w:caps w:val="false"/>
          <w:smallCaps w:val="false"/>
          <w:sz w:val="20"/>
        </w:rPr>
        <w:t>Item 4. Mine Safety Disclosures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4" w:name="a_017"/>
      <w:bookmarkEnd w:id="814"/>
      <w:r>
        <w:rPr>
          <w:rFonts w:ascii="Times New Roman;Times;Serif" w:hAnsi="Times New Roman;Times;Serif"/>
          <w:b/>
          <w:i w:val="false"/>
          <w:caps w:val="false"/>
          <w:smallCaps w:val="false"/>
          <w:sz w:val="20"/>
        </w:rPr>
        <w:t>Item 5. Other Information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Arrangements and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no director or officer of CXApp notified CXApp of the adoption or termination of a “Rule 10b5-1 trading arrangement” or “non-Rule 10b5-1 trading arrangement,” as each term is defined in Item 408(a) of Regulation S-K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5" w:name="a_018"/>
      <w:bookmarkEnd w:id="815"/>
      <w:r>
        <w:rPr>
          <w:rFonts w:ascii="Times New Roman;Times;Serif" w:hAnsi="Times New Roman;Times;Serif"/>
          <w:b/>
          <w:i w:val="false"/>
          <w:caps w:val="false"/>
          <w:smallCaps w:val="false"/>
          <w:sz w:val="20"/>
        </w:rPr>
        <w:t>Item 6. Exhibits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4"/>
        <w:gridCol w:w="60"/>
        <w:gridCol w:w="9471"/>
      </w:tblGrid>
      <w:tr>
        <w:trPr/>
        <w:tc>
          <w:tcPr>
            <w:tcW w:w="674" w:type="dxa"/>
            <w:tcBorders/>
            <w:shd w:fill="CCEEFF" w:val="clear"/>
            <w:vAlign w:val="center"/>
          </w:tcPr>
          <w:p>
            <w:pPr>
              <w:pStyle w:val="TableContents"/>
              <w:bidi w:val="0"/>
              <w:spacing w:before="0" w:after="283"/>
              <w:jc w:val="center"/>
              <w:rPr>
                <w:sz w:val="20"/>
              </w:rPr>
            </w:pPr>
            <w:r>
              <w:rPr>
                <w:sz w:val="20"/>
              </w:rPr>
              <w:t>2.1</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pPr>
            <w:hyperlink r:id="rId2">
              <w:r>
                <w:rPr>
                  <w:rStyle w:val="InternetLink"/>
                  <w:sz w:val="20"/>
                </w:rPr>
                <w:t>Agreement and Plan of Merger, dated as of September 25, 2022, by and among KINS Technology Group Inc., Inpixon, CXApp Holding Corp. and KINS Merger Sub Inc.</w:t>
              </w:r>
            </w:hyperlink>
          </w:p>
        </w:tc>
      </w:tr>
      <w:tr>
        <w:trPr/>
        <w:tc>
          <w:tcPr>
            <w:tcW w:w="674" w:type="dxa"/>
            <w:tcBorders/>
            <w:shd w:fill="FFFFFF" w:val="clear"/>
            <w:vAlign w:val="center"/>
          </w:tcPr>
          <w:p>
            <w:pPr>
              <w:pStyle w:val="TableContents"/>
              <w:bidi w:val="0"/>
              <w:spacing w:before="0" w:after="283"/>
              <w:jc w:val="center"/>
              <w:rPr>
                <w:sz w:val="20"/>
              </w:rPr>
            </w:pPr>
            <w:r>
              <w:rPr>
                <w:sz w:val="20"/>
              </w:rPr>
              <w:t>2.2</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pPr>
            <w:hyperlink r:id="rId3">
              <w:r>
                <w:rPr>
                  <w:rStyle w:val="InternetLink"/>
                  <w:sz w:val="20"/>
                </w:rPr>
                <w:t>Separation and Distribution Agreement, dated as of September 25, 2022, by and among KINS Technology Group Inc., Inpixon, CXApp Holding Corp. and Design Reactor, Inc.</w:t>
              </w:r>
            </w:hyperlink>
          </w:p>
        </w:tc>
      </w:tr>
      <w:tr>
        <w:trPr/>
        <w:tc>
          <w:tcPr>
            <w:tcW w:w="674" w:type="dxa"/>
            <w:tcBorders/>
            <w:shd w:fill="CCEEFF" w:val="clear"/>
            <w:vAlign w:val="center"/>
          </w:tcPr>
          <w:p>
            <w:pPr>
              <w:pStyle w:val="TableContents"/>
              <w:bidi w:val="0"/>
              <w:spacing w:before="0" w:after="283"/>
              <w:jc w:val="center"/>
              <w:rPr>
                <w:sz w:val="20"/>
              </w:rPr>
            </w:pPr>
            <w:r>
              <w:rPr>
                <w:sz w:val="20"/>
              </w:rPr>
              <w:t>2.3</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pPr>
            <w:hyperlink r:id="rId4">
              <w:r>
                <w:rPr>
                  <w:rStyle w:val="InternetLink"/>
                  <w:sz w:val="20"/>
                </w:rPr>
                <w:t>Sponsor Support Agreement, dated as of September 25, 2022, by and among KINS Capital LLC, KINS Technology Group Inc., Inpixon and CXApp Holding Corp.</w:t>
              </w:r>
            </w:hyperlink>
          </w:p>
        </w:tc>
      </w:tr>
      <w:tr>
        <w:trPr/>
        <w:tc>
          <w:tcPr>
            <w:tcW w:w="674" w:type="dxa"/>
            <w:tcBorders/>
            <w:shd w:fill="FFFFFF" w:val="clear"/>
            <w:vAlign w:val="center"/>
          </w:tcPr>
          <w:p>
            <w:pPr>
              <w:pStyle w:val="TableContents"/>
              <w:bidi w:val="0"/>
              <w:spacing w:before="0" w:after="283"/>
              <w:jc w:val="center"/>
              <w:rPr>
                <w:sz w:val="20"/>
              </w:rPr>
            </w:pPr>
            <w:r>
              <w:rPr>
                <w:sz w:val="20"/>
              </w:rPr>
              <w:t>3.1</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pPr>
            <w:hyperlink r:id="rId5">
              <w:r>
                <w:rPr>
                  <w:rStyle w:val="InternetLink"/>
                  <w:sz w:val="20"/>
                </w:rPr>
                <w:t>Amended and Restated Certificate of Incorporation of the Company.</w:t>
              </w:r>
            </w:hyperlink>
          </w:p>
        </w:tc>
      </w:tr>
      <w:tr>
        <w:trPr/>
        <w:tc>
          <w:tcPr>
            <w:tcW w:w="674" w:type="dxa"/>
            <w:tcBorders/>
            <w:shd w:fill="CCEEFF" w:val="clear"/>
            <w:vAlign w:val="center"/>
          </w:tcPr>
          <w:p>
            <w:pPr>
              <w:pStyle w:val="TableContents"/>
              <w:bidi w:val="0"/>
              <w:spacing w:before="0" w:after="283"/>
              <w:jc w:val="center"/>
              <w:rPr>
                <w:sz w:val="20"/>
              </w:rPr>
            </w:pPr>
            <w:r>
              <w:rPr>
                <w:sz w:val="20"/>
              </w:rPr>
              <w:t>3.2</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pPr>
            <w:hyperlink r:id="rId6">
              <w:r>
                <w:rPr>
                  <w:rStyle w:val="InternetLink"/>
                  <w:sz w:val="20"/>
                </w:rPr>
                <w:t>Amended and Restated Bylaws of the Company.</w:t>
              </w:r>
            </w:hyperlink>
          </w:p>
        </w:tc>
      </w:tr>
      <w:tr>
        <w:trPr/>
        <w:tc>
          <w:tcPr>
            <w:tcW w:w="674" w:type="dxa"/>
            <w:tcBorders/>
            <w:shd w:fill="FFFFFF" w:val="clear"/>
            <w:vAlign w:val="center"/>
          </w:tcPr>
          <w:p>
            <w:pPr>
              <w:pStyle w:val="TableContents"/>
              <w:bidi w:val="0"/>
              <w:spacing w:before="0" w:after="283"/>
              <w:jc w:val="center"/>
              <w:rPr>
                <w:sz w:val="20"/>
              </w:rPr>
            </w:pPr>
            <w:r>
              <w:rPr>
                <w:sz w:val="20"/>
              </w:rPr>
              <w:t>4.1</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pPr>
            <w:hyperlink r:id="rId7">
              <w:r>
                <w:rPr>
                  <w:rStyle w:val="InternetLink"/>
                  <w:sz w:val="20"/>
                </w:rPr>
                <w:t>Warrant Agreement, dated as of December 14, 2020, by and between KINS and Continental Stock Transfer &amp; Trust Company, as warrant agent (incorporated herein by reference from Exhibit 4.1 on KINS’ Form 8-K, filed December 21, 2020).</w:t>
              </w:r>
            </w:hyperlink>
          </w:p>
        </w:tc>
      </w:tr>
      <w:tr>
        <w:trPr/>
        <w:tc>
          <w:tcPr>
            <w:tcW w:w="674" w:type="dxa"/>
            <w:tcBorders/>
            <w:shd w:fill="CCEEFF" w:val="clear"/>
            <w:vAlign w:val="center"/>
          </w:tcPr>
          <w:p>
            <w:pPr>
              <w:pStyle w:val="TableContents"/>
              <w:bidi w:val="0"/>
              <w:spacing w:before="0" w:after="283"/>
              <w:jc w:val="center"/>
              <w:rPr>
                <w:sz w:val="20"/>
              </w:rPr>
            </w:pPr>
            <w:r>
              <w:rPr>
                <w:sz w:val="20"/>
              </w:rPr>
              <w:t>4.2</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pPr>
            <w:hyperlink r:id="rId8">
              <w:r>
                <w:rPr>
                  <w:rStyle w:val="InternetLink"/>
                  <w:sz w:val="20"/>
                </w:rPr>
                <w:t>Specimen CXApp Inc. Class A Common Stock Certificate.</w:t>
              </w:r>
            </w:hyperlink>
          </w:p>
        </w:tc>
      </w:tr>
      <w:tr>
        <w:trPr/>
        <w:tc>
          <w:tcPr>
            <w:tcW w:w="674" w:type="dxa"/>
            <w:tcBorders/>
            <w:shd w:fill="FFFFFF" w:val="clear"/>
            <w:vAlign w:val="center"/>
          </w:tcPr>
          <w:p>
            <w:pPr>
              <w:pStyle w:val="TableContents"/>
              <w:bidi w:val="0"/>
              <w:spacing w:before="0" w:after="283"/>
              <w:jc w:val="center"/>
              <w:rPr>
                <w:sz w:val="20"/>
              </w:rPr>
            </w:pPr>
            <w:r>
              <w:rPr>
                <w:sz w:val="20"/>
              </w:rPr>
              <w:t>4.3</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pPr>
            <w:hyperlink r:id="rId9">
              <w:r>
                <w:rPr>
                  <w:rStyle w:val="InternetLink"/>
                  <w:sz w:val="20"/>
                </w:rPr>
                <w:t>Specimen CXApp Inc. Class C Common Stock Certificate.</w:t>
              </w:r>
            </w:hyperlink>
          </w:p>
        </w:tc>
      </w:tr>
      <w:tr>
        <w:trPr/>
        <w:tc>
          <w:tcPr>
            <w:tcW w:w="674" w:type="dxa"/>
            <w:tcBorders/>
            <w:shd w:fill="CCEEFF" w:val="clear"/>
            <w:vAlign w:val="center"/>
          </w:tcPr>
          <w:p>
            <w:pPr>
              <w:pStyle w:val="TableContents"/>
              <w:bidi w:val="0"/>
              <w:spacing w:before="0" w:after="283"/>
              <w:jc w:val="center"/>
              <w:rPr>
                <w:sz w:val="20"/>
              </w:rPr>
            </w:pPr>
            <w:r>
              <w:rPr>
                <w:sz w:val="20"/>
              </w:rPr>
              <w:t>4.4</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pPr>
            <w:hyperlink r:id="rId10">
              <w:r>
                <w:rPr>
                  <w:rStyle w:val="InternetLink"/>
                  <w:sz w:val="20"/>
                </w:rPr>
                <w:t>Specimen Warrant Certificate of the Company.</w:t>
              </w:r>
            </w:hyperlink>
          </w:p>
        </w:tc>
      </w:tr>
      <w:tr>
        <w:trPr/>
        <w:tc>
          <w:tcPr>
            <w:tcW w:w="674" w:type="dxa"/>
            <w:tcBorders/>
            <w:shd w:fill="FFFFFF" w:val="clear"/>
            <w:vAlign w:val="center"/>
          </w:tcPr>
          <w:p>
            <w:pPr>
              <w:pStyle w:val="TableContents"/>
              <w:bidi w:val="0"/>
              <w:spacing w:before="0" w:after="283"/>
              <w:jc w:val="center"/>
              <w:rPr>
                <w:sz w:val="20"/>
              </w:rPr>
            </w:pPr>
            <w:r>
              <w:rPr>
                <w:sz w:val="20"/>
              </w:rPr>
              <w:t>10.1</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pPr>
            <w:hyperlink r:id="rId11">
              <w:r>
                <w:rPr>
                  <w:rStyle w:val="InternetLink"/>
                  <w:sz w:val="20"/>
                </w:rPr>
                <w:t>Employee Matters Agreement, dated March 14, 2023, by and among KINS, KINS Merger Sub Inc., Inpixon, and Legacy CXApp.</w:t>
              </w:r>
            </w:hyperlink>
          </w:p>
        </w:tc>
      </w:tr>
      <w:tr>
        <w:trPr/>
        <w:tc>
          <w:tcPr>
            <w:tcW w:w="674" w:type="dxa"/>
            <w:tcBorders/>
            <w:shd w:fill="CCEEFF" w:val="clear"/>
            <w:vAlign w:val="center"/>
          </w:tcPr>
          <w:p>
            <w:pPr>
              <w:pStyle w:val="TableContents"/>
              <w:bidi w:val="0"/>
              <w:spacing w:before="0" w:after="283"/>
              <w:jc w:val="center"/>
              <w:rPr>
                <w:sz w:val="20"/>
              </w:rPr>
            </w:pPr>
            <w:r>
              <w:rPr>
                <w:sz w:val="20"/>
              </w:rPr>
              <w:t>10.2</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pPr>
            <w:hyperlink r:id="rId12">
              <w:r>
                <w:rPr>
                  <w:rStyle w:val="InternetLink"/>
                  <w:sz w:val="20"/>
                </w:rPr>
                <w:t>Tax Matters Agreement, dated March 14, 2023, by and among KINS, Inpixon, and Legacy CXApp.</w:t>
              </w:r>
            </w:hyperlink>
          </w:p>
        </w:tc>
      </w:tr>
      <w:tr>
        <w:trPr/>
        <w:tc>
          <w:tcPr>
            <w:tcW w:w="674" w:type="dxa"/>
            <w:tcBorders/>
            <w:shd w:fill="FFFFFF" w:val="clear"/>
            <w:vAlign w:val="center"/>
          </w:tcPr>
          <w:p>
            <w:pPr>
              <w:pStyle w:val="TableContents"/>
              <w:bidi w:val="0"/>
              <w:spacing w:before="0" w:after="283"/>
              <w:jc w:val="center"/>
              <w:rPr>
                <w:sz w:val="20"/>
              </w:rPr>
            </w:pPr>
            <w:r>
              <w:rPr>
                <w:sz w:val="20"/>
              </w:rPr>
              <w:t>10.3</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pPr>
            <w:hyperlink r:id="rId13">
              <w:r>
                <w:rPr>
                  <w:rStyle w:val="InternetLink"/>
                  <w:sz w:val="20"/>
                </w:rPr>
                <w:t>Transition Services Agreement, dated March 14, 2023, by and between Inpixon and Legacy CXApp.</w:t>
              </w:r>
            </w:hyperlink>
          </w:p>
        </w:tc>
      </w:tr>
      <w:tr>
        <w:trPr/>
        <w:tc>
          <w:tcPr>
            <w:tcW w:w="674" w:type="dxa"/>
            <w:tcBorders/>
            <w:shd w:fill="CCEEFF" w:val="clear"/>
            <w:vAlign w:val="center"/>
          </w:tcPr>
          <w:p>
            <w:pPr>
              <w:pStyle w:val="TableContents"/>
              <w:bidi w:val="0"/>
              <w:spacing w:before="0" w:after="283"/>
              <w:jc w:val="center"/>
              <w:rPr>
                <w:sz w:val="20"/>
              </w:rPr>
            </w:pPr>
            <w:r>
              <w:rPr>
                <w:sz w:val="20"/>
              </w:rPr>
              <w:t>10.4</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pPr>
            <w:hyperlink r:id="rId14">
              <w:r>
                <w:rPr>
                  <w:rStyle w:val="InternetLink"/>
                  <w:sz w:val="20"/>
                </w:rPr>
                <w:t>Consulting Agreement, dated March 14, 2023, by and between Design Reactor, Inc. and 3AM, LLC.</w:t>
              </w:r>
            </w:hyperlink>
          </w:p>
        </w:tc>
      </w:tr>
      <w:tr>
        <w:trPr/>
        <w:tc>
          <w:tcPr>
            <w:tcW w:w="674" w:type="dxa"/>
            <w:tcBorders/>
            <w:shd w:fill="FFFFFF" w:val="clear"/>
            <w:vAlign w:val="center"/>
          </w:tcPr>
          <w:p>
            <w:pPr>
              <w:pStyle w:val="TableContents"/>
              <w:bidi w:val="0"/>
              <w:spacing w:before="0" w:after="283"/>
              <w:jc w:val="center"/>
              <w:rPr>
                <w:sz w:val="20"/>
              </w:rPr>
            </w:pPr>
            <w:r>
              <w:rPr>
                <w:sz w:val="20"/>
              </w:rPr>
              <w:t>10.5</w:t>
            </w:r>
            <w:r>
              <w:rPr>
                <w:position w:val="7"/>
                <w:sz w:val="16"/>
                <w:sz w:val="20"/>
              </w:rPr>
              <w:t>(#)</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pPr>
            <w:hyperlink r:id="rId15">
              <w:r>
                <w:rPr>
                  <w:rStyle w:val="InternetLink"/>
                  <w:sz w:val="20"/>
                </w:rPr>
                <w:t>Employment Agreement, dated as of January 9, 2023, by and between Design Reactor, Inc. and Khurram Sheikh. (incorporated by reference to the Company’s Current Report on Form 8-K filed on March 31, 2023)</w:t>
              </w:r>
            </w:hyperlink>
          </w:p>
        </w:tc>
      </w:tr>
      <w:tr>
        <w:trPr/>
        <w:tc>
          <w:tcPr>
            <w:tcW w:w="674" w:type="dxa"/>
            <w:tcBorders/>
            <w:shd w:fill="CCEEFF" w:val="clear"/>
            <w:vAlign w:val="center"/>
          </w:tcPr>
          <w:p>
            <w:pPr>
              <w:pStyle w:val="TableContents"/>
              <w:bidi w:val="0"/>
              <w:spacing w:before="0" w:after="283"/>
              <w:jc w:val="center"/>
              <w:rPr>
                <w:sz w:val="20"/>
              </w:rPr>
            </w:pPr>
            <w:r>
              <w:rPr>
                <w:sz w:val="20"/>
              </w:rPr>
              <w:t>10.6</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pPr>
            <w:hyperlink r:id="rId16">
              <w:r>
                <w:rPr>
                  <w:rStyle w:val="InternetLink"/>
                  <w:sz w:val="20"/>
                </w:rPr>
                <w:t>CXApp Inc. 2023 Equity Incentive Plan.</w:t>
              </w:r>
            </w:hyperlink>
          </w:p>
        </w:tc>
      </w:tr>
      <w:tr>
        <w:trPr/>
        <w:tc>
          <w:tcPr>
            <w:tcW w:w="674" w:type="dxa"/>
            <w:tcBorders/>
            <w:shd w:fill="FFFFFF" w:val="clear"/>
            <w:vAlign w:val="center"/>
          </w:tcPr>
          <w:p>
            <w:pPr>
              <w:pStyle w:val="TableContents"/>
              <w:bidi w:val="0"/>
              <w:spacing w:before="0" w:after="283"/>
              <w:jc w:val="center"/>
              <w:rPr>
                <w:sz w:val="20"/>
              </w:rPr>
            </w:pPr>
            <w:r>
              <w:rPr>
                <w:sz w:val="20"/>
              </w:rPr>
              <w:t>10.7</w:t>
            </w:r>
            <w:r>
              <w:rPr>
                <w:position w:val="7"/>
                <w:sz w:val="16"/>
                <w:sz w:val="20"/>
              </w:rPr>
              <w:t>(3)</w:t>
            </w:r>
          </w:p>
        </w:tc>
        <w:tc>
          <w:tcPr>
            <w:tcW w:w="60" w:type="dxa"/>
            <w:tcBorders/>
            <w:shd w:fill="FFFFFF" w:val="clear"/>
            <w:vAlign w:val="center"/>
          </w:tcPr>
          <w:p>
            <w:pPr>
              <w:pStyle w:val="TableContents"/>
              <w:bidi w:val="0"/>
              <w:spacing w:before="0" w:after="283"/>
              <w:jc w:val="both"/>
              <w:rPr/>
            </w:pPr>
            <w:r>
              <w:rPr/>
              <w:t> </w:t>
            </w:r>
          </w:p>
        </w:tc>
        <w:tc>
          <w:tcPr>
            <w:tcW w:w="9471" w:type="dxa"/>
            <w:tcBorders/>
            <w:shd w:fill="FFFFFF" w:val="clear"/>
            <w:vAlign w:val="center"/>
          </w:tcPr>
          <w:p>
            <w:pPr>
              <w:pStyle w:val="TableContents"/>
              <w:bidi w:val="0"/>
              <w:spacing w:before="0" w:after="283"/>
              <w:jc w:val="both"/>
              <w:rPr/>
            </w:pPr>
            <w:hyperlink r:id="rId17">
              <w:r>
                <w:rPr>
                  <w:rStyle w:val="InternetLink"/>
                  <w:sz w:val="20"/>
                </w:rPr>
                <w:t>Securities Purchase Agreement, dated as of May 22, 2024, by and between CXApp Inc. and Streeterville Capital, LLC.</w:t>
              </w:r>
            </w:hyperlink>
          </w:p>
        </w:tc>
      </w:tr>
      <w:tr>
        <w:trPr/>
        <w:tc>
          <w:tcPr>
            <w:tcW w:w="674" w:type="dxa"/>
            <w:tcBorders/>
            <w:shd w:fill="CCEEFF" w:val="clear"/>
            <w:vAlign w:val="center"/>
          </w:tcPr>
          <w:p>
            <w:pPr>
              <w:pStyle w:val="TableContents"/>
              <w:bidi w:val="0"/>
              <w:spacing w:before="0" w:after="283"/>
              <w:jc w:val="center"/>
              <w:rPr>
                <w:sz w:val="20"/>
              </w:rPr>
            </w:pPr>
            <w:r>
              <w:rPr>
                <w:sz w:val="20"/>
              </w:rPr>
              <w:t>14.01</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pPr>
            <w:hyperlink r:id="rId18">
              <w:r>
                <w:rPr>
                  <w:rStyle w:val="InternetLink"/>
                  <w:sz w:val="20"/>
                </w:rPr>
                <w:t>Code of Ethics and Business Conduct of CXApp Inc.</w:t>
              </w:r>
            </w:hyperlink>
          </w:p>
        </w:tc>
      </w:tr>
      <w:tr>
        <w:trPr/>
        <w:tc>
          <w:tcPr>
            <w:tcW w:w="674" w:type="dxa"/>
            <w:tcBorders/>
            <w:shd w:fill="FFFFFF" w:val="clear"/>
            <w:vAlign w:val="center"/>
          </w:tcPr>
          <w:p>
            <w:pPr>
              <w:pStyle w:val="TableContents"/>
              <w:bidi w:val="0"/>
              <w:spacing w:before="0" w:after="283"/>
              <w:jc w:val="center"/>
              <w:rPr>
                <w:sz w:val="20"/>
              </w:rPr>
            </w:pPr>
            <w:r>
              <w:rPr>
                <w:sz w:val="20"/>
              </w:rPr>
              <w:t>31.1</w:t>
            </w:r>
            <w:r>
              <w:rPr>
                <w:position w:val="7"/>
                <w:sz w:val="16"/>
                <w:sz w:val="20"/>
              </w:rPr>
              <w:t>(*)</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pPr>
            <w:hyperlink w:anchor="cxappinc_ex31-1.htm">
              <w:r>
                <w:rPr>
                  <w:rStyle w:val="InternetLink"/>
                  <w:sz w:val="20"/>
                </w:rPr>
                <w:t>Certification of Principal Executive Officer Pursuant to Securities Exchange Act Rules 13a-14(a) and 15(d)-14(a), as adopted Pursuant to Section 302 of the Sarbanes-Oxley Act of 2002.</w:t>
              </w:r>
            </w:hyperlink>
          </w:p>
        </w:tc>
      </w:tr>
      <w:tr>
        <w:trPr/>
        <w:tc>
          <w:tcPr>
            <w:tcW w:w="674" w:type="dxa"/>
            <w:tcBorders/>
            <w:shd w:fill="CCEEFF" w:val="clear"/>
            <w:vAlign w:val="center"/>
          </w:tcPr>
          <w:p>
            <w:pPr>
              <w:pStyle w:val="TableContents"/>
              <w:bidi w:val="0"/>
              <w:spacing w:before="0" w:after="283"/>
              <w:jc w:val="center"/>
              <w:rPr>
                <w:sz w:val="20"/>
              </w:rPr>
            </w:pPr>
            <w:r>
              <w:rPr>
                <w:sz w:val="20"/>
              </w:rPr>
              <w:t>31.2</w:t>
            </w:r>
            <w:r>
              <w:rPr>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pPr>
            <w:hyperlink w:anchor="cxappinc_ex31-2.htm">
              <w:r>
                <w:rPr>
                  <w:rStyle w:val="InternetLink"/>
                  <w:sz w:val="20"/>
                </w:rPr>
                <w:t>Certification of Principal Financial Officer Pursuant to Securities Exchange Act Rules 13a-14(a) and 15(d)-14(a), as adopted Pursuant to Section 302 of the Sarbanes-Oxley Act of 2002.</w:t>
              </w:r>
            </w:hyperlink>
          </w:p>
        </w:tc>
      </w:tr>
      <w:tr>
        <w:trPr/>
        <w:tc>
          <w:tcPr>
            <w:tcW w:w="674" w:type="dxa"/>
            <w:tcBorders/>
            <w:shd w:fill="FFFFFF" w:val="clear"/>
            <w:vAlign w:val="center"/>
          </w:tcPr>
          <w:p>
            <w:pPr>
              <w:pStyle w:val="TableContents"/>
              <w:bidi w:val="0"/>
              <w:spacing w:before="0" w:after="283"/>
              <w:jc w:val="center"/>
              <w:rPr>
                <w:sz w:val="20"/>
              </w:rPr>
            </w:pPr>
            <w:r>
              <w:rPr>
                <w:sz w:val="20"/>
              </w:rPr>
              <w:t>32.1</w:t>
            </w:r>
            <w:r>
              <w:rPr>
                <w:position w:val="7"/>
                <w:sz w:val="16"/>
                <w:sz w:val="20"/>
              </w:rPr>
              <w:t>(**)</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pPr>
            <w:hyperlink w:anchor="cxappinc_ex32-1.htm">
              <w:r>
                <w:rPr>
                  <w:rStyle w:val="InternetLink"/>
                  <w:sz w:val="20"/>
                </w:rPr>
                <w:t>Certification of Principal Executive Officer Pursuant to 18 U.S.C. Section 1350, as adopted Pursuant to Section 906 of the Sarbanes-Oxley Act of 2002.</w:t>
              </w:r>
            </w:hyperlink>
          </w:p>
        </w:tc>
      </w:tr>
      <w:tr>
        <w:trPr/>
        <w:tc>
          <w:tcPr>
            <w:tcW w:w="674" w:type="dxa"/>
            <w:tcBorders/>
            <w:shd w:fill="CCEEFF" w:val="clear"/>
            <w:vAlign w:val="center"/>
          </w:tcPr>
          <w:p>
            <w:pPr>
              <w:pStyle w:val="TableContents"/>
              <w:bidi w:val="0"/>
              <w:spacing w:before="0" w:after="283"/>
              <w:jc w:val="center"/>
              <w:rPr>
                <w:sz w:val="20"/>
              </w:rPr>
            </w:pPr>
            <w:r>
              <w:rPr>
                <w:sz w:val="20"/>
              </w:rPr>
              <w:t>32.2</w:t>
            </w:r>
            <w:r>
              <w:rPr>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pPr>
            <w:hyperlink w:anchor="cxappinc_ex32-2.htm">
              <w:r>
                <w:rPr>
                  <w:rStyle w:val="InternetLink"/>
                  <w:sz w:val="20"/>
                </w:rPr>
                <w:t>Certification of Principal Financial Officer Pursuant to 18 U.S.C. Section 1350, as adopted Pursuant to Section 906 of the Sarbanes-Oxley Act of 2002.</w:t>
              </w:r>
            </w:hyperlink>
          </w:p>
        </w:tc>
      </w:tr>
      <w:tr>
        <w:trPr/>
        <w:tc>
          <w:tcPr>
            <w:tcW w:w="674" w:type="dxa"/>
            <w:tcBorders/>
            <w:shd w:fill="FFFFFF" w:val="clear"/>
            <w:vAlign w:val="center"/>
          </w:tcPr>
          <w:p>
            <w:pPr>
              <w:pStyle w:val="TableContents"/>
              <w:bidi w:val="0"/>
              <w:spacing w:before="0" w:after="283"/>
              <w:jc w:val="center"/>
              <w:rPr>
                <w:sz w:val="20"/>
              </w:rPr>
            </w:pPr>
            <w:r>
              <w:rPr>
                <w:sz w:val="20"/>
              </w:rPr>
              <w:t>101.INS</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sz w:val="20"/>
              </w:rPr>
            </w:pPr>
            <w:r>
              <w:rPr>
                <w:sz w:val="20"/>
              </w:rPr>
              <w:t>XBRL Instance Document</w:t>
            </w:r>
          </w:p>
        </w:tc>
      </w:tr>
      <w:tr>
        <w:trPr/>
        <w:tc>
          <w:tcPr>
            <w:tcW w:w="674" w:type="dxa"/>
            <w:tcBorders/>
            <w:shd w:fill="CCEEFF" w:val="clear"/>
            <w:vAlign w:val="center"/>
          </w:tcPr>
          <w:p>
            <w:pPr>
              <w:pStyle w:val="TableContents"/>
              <w:bidi w:val="0"/>
              <w:spacing w:before="0" w:after="283"/>
              <w:jc w:val="center"/>
              <w:rPr>
                <w:sz w:val="20"/>
              </w:rPr>
            </w:pPr>
            <w:r>
              <w:rPr>
                <w:sz w:val="20"/>
              </w:rPr>
              <w:t>101.SCH</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sz w:val="20"/>
              </w:rPr>
            </w:pPr>
            <w:r>
              <w:rPr>
                <w:sz w:val="20"/>
              </w:rPr>
              <w:t>XBRL Taxonomy Extension Schema Document</w:t>
            </w:r>
          </w:p>
        </w:tc>
      </w:tr>
      <w:tr>
        <w:trPr/>
        <w:tc>
          <w:tcPr>
            <w:tcW w:w="674" w:type="dxa"/>
            <w:tcBorders/>
            <w:shd w:fill="FFFFFF" w:val="clear"/>
            <w:vAlign w:val="center"/>
          </w:tcPr>
          <w:p>
            <w:pPr>
              <w:pStyle w:val="TableContents"/>
              <w:bidi w:val="0"/>
              <w:spacing w:before="0" w:after="283"/>
              <w:jc w:val="center"/>
              <w:rPr>
                <w:sz w:val="20"/>
              </w:rPr>
            </w:pPr>
            <w:r>
              <w:rPr>
                <w:sz w:val="20"/>
              </w:rPr>
              <w:t>101.CAL</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sz w:val="20"/>
              </w:rPr>
            </w:pPr>
            <w:r>
              <w:rPr>
                <w:sz w:val="20"/>
              </w:rPr>
              <w:t>XBRL Taxonomy Extension Calculation Linkbase Document</w:t>
            </w:r>
          </w:p>
        </w:tc>
      </w:tr>
      <w:tr>
        <w:trPr/>
        <w:tc>
          <w:tcPr>
            <w:tcW w:w="674" w:type="dxa"/>
            <w:tcBorders/>
            <w:shd w:fill="CCEEFF" w:val="clear"/>
            <w:vAlign w:val="center"/>
          </w:tcPr>
          <w:p>
            <w:pPr>
              <w:pStyle w:val="TableContents"/>
              <w:bidi w:val="0"/>
              <w:spacing w:before="0" w:after="283"/>
              <w:jc w:val="center"/>
              <w:rPr>
                <w:sz w:val="20"/>
              </w:rPr>
            </w:pPr>
            <w:r>
              <w:rPr>
                <w:sz w:val="20"/>
              </w:rPr>
              <w:t>101.DEF</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sz w:val="20"/>
              </w:rPr>
            </w:pPr>
            <w:r>
              <w:rPr>
                <w:sz w:val="20"/>
              </w:rPr>
              <w:t>XBRL Taxonomy Extension Definition Linkbase Document</w:t>
            </w:r>
          </w:p>
        </w:tc>
      </w:tr>
      <w:tr>
        <w:trPr/>
        <w:tc>
          <w:tcPr>
            <w:tcW w:w="674" w:type="dxa"/>
            <w:tcBorders/>
            <w:shd w:fill="FFFFFF" w:val="clear"/>
            <w:vAlign w:val="center"/>
          </w:tcPr>
          <w:p>
            <w:pPr>
              <w:pStyle w:val="TableContents"/>
              <w:bidi w:val="0"/>
              <w:spacing w:before="0" w:after="283"/>
              <w:jc w:val="center"/>
              <w:rPr>
                <w:sz w:val="20"/>
              </w:rPr>
            </w:pPr>
            <w:r>
              <w:rPr>
                <w:sz w:val="20"/>
              </w:rPr>
              <w:t>101.LAB</w:t>
            </w:r>
          </w:p>
        </w:tc>
        <w:tc>
          <w:tcPr>
            <w:tcW w:w="60" w:type="dxa"/>
            <w:tcBorders/>
            <w:shd w:fill="FFFFFF" w:val="clear"/>
            <w:vAlign w:val="center"/>
          </w:tcPr>
          <w:p>
            <w:pPr>
              <w:pStyle w:val="TableContents"/>
              <w:bidi w:val="0"/>
              <w:spacing w:before="0" w:after="283"/>
              <w:jc w:val="left"/>
              <w:rPr/>
            </w:pPr>
            <w:r>
              <w:rPr/>
              <w:t> </w:t>
            </w:r>
          </w:p>
        </w:tc>
        <w:tc>
          <w:tcPr>
            <w:tcW w:w="9471" w:type="dxa"/>
            <w:tcBorders/>
            <w:shd w:fill="FFFFFF" w:val="clear"/>
            <w:vAlign w:val="center"/>
          </w:tcPr>
          <w:p>
            <w:pPr>
              <w:pStyle w:val="TableContents"/>
              <w:bidi w:val="0"/>
              <w:spacing w:before="0" w:after="283"/>
              <w:jc w:val="both"/>
              <w:rPr>
                <w:sz w:val="20"/>
              </w:rPr>
            </w:pPr>
            <w:r>
              <w:rPr>
                <w:sz w:val="20"/>
              </w:rPr>
              <w:t>XBRL Taxonomy Extension Labels Linkbase Document</w:t>
            </w:r>
          </w:p>
        </w:tc>
      </w:tr>
      <w:tr>
        <w:trPr/>
        <w:tc>
          <w:tcPr>
            <w:tcW w:w="674" w:type="dxa"/>
            <w:tcBorders/>
            <w:shd w:fill="CCEEFF" w:val="clear"/>
            <w:vAlign w:val="center"/>
          </w:tcPr>
          <w:p>
            <w:pPr>
              <w:pStyle w:val="TableContents"/>
              <w:bidi w:val="0"/>
              <w:spacing w:before="0" w:after="283"/>
              <w:jc w:val="center"/>
              <w:rPr>
                <w:sz w:val="20"/>
              </w:rPr>
            </w:pPr>
            <w:r>
              <w:rPr>
                <w:sz w:val="20"/>
              </w:rPr>
              <w:t>101.PRE</w:t>
            </w:r>
          </w:p>
        </w:tc>
        <w:tc>
          <w:tcPr>
            <w:tcW w:w="60" w:type="dxa"/>
            <w:tcBorders/>
            <w:shd w:fill="CCEEFF" w:val="clear"/>
            <w:vAlign w:val="center"/>
          </w:tcPr>
          <w:p>
            <w:pPr>
              <w:pStyle w:val="TableContents"/>
              <w:bidi w:val="0"/>
              <w:spacing w:before="0" w:after="283"/>
              <w:jc w:val="left"/>
              <w:rPr/>
            </w:pPr>
            <w:r>
              <w:rPr/>
              <w:t> </w:t>
            </w:r>
          </w:p>
        </w:tc>
        <w:tc>
          <w:tcPr>
            <w:tcW w:w="9471" w:type="dxa"/>
            <w:tcBorders/>
            <w:shd w:fill="CCEEFF" w:val="clear"/>
            <w:vAlign w:val="center"/>
          </w:tcPr>
          <w:p>
            <w:pPr>
              <w:pStyle w:val="TableContents"/>
              <w:bidi w:val="0"/>
              <w:spacing w:before="0" w:after="283"/>
              <w:jc w:val="both"/>
              <w:rPr>
                <w:sz w:val="20"/>
              </w:rPr>
            </w:pPr>
            <w:r>
              <w:rPr>
                <w:sz w:val="20"/>
              </w:rPr>
              <w:t>XBRL Taxonomy Extension Presentation Linkbase Document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8583" w:type="dxa"/>
        <w:jc w:val="left"/>
        <w:tblInd w:w="0" w:type="dxa"/>
        <w:tblLayout w:type="fixed"/>
        <w:tblCellMar>
          <w:top w:w="0" w:type="dxa"/>
          <w:left w:w="0" w:type="dxa"/>
          <w:bottom w:w="0" w:type="dxa"/>
          <w:right w:w="0" w:type="dxa"/>
        </w:tblCellMar>
      </w:tblPr>
      <w:tblGrid>
        <w:gridCol w:w="38"/>
        <w:gridCol w:w="245"/>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w:t>
            </w:r>
          </w:p>
        </w:tc>
        <w:tc>
          <w:tcPr>
            <w:tcW w:w="8300" w:type="dxa"/>
            <w:tcBorders/>
            <w:vAlign w:val="center"/>
          </w:tcPr>
          <w:p>
            <w:pPr>
              <w:pStyle w:val="TableContents"/>
              <w:bidi w:val="0"/>
              <w:spacing w:before="0" w:after="283"/>
              <w:jc w:val="both"/>
              <w:rPr>
                <w:sz w:val="20"/>
              </w:rPr>
            </w:pPr>
            <w:r>
              <w:rPr>
                <w:sz w:val="20"/>
              </w:rPr>
              <w:t>Filed herewith.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w:t>
            </w:r>
          </w:p>
        </w:tc>
        <w:tc>
          <w:tcPr>
            <w:tcW w:w="8300" w:type="dxa"/>
            <w:tcBorders/>
            <w:vAlign w:val="center"/>
          </w:tcPr>
          <w:p>
            <w:pPr>
              <w:pStyle w:val="TableContents"/>
              <w:bidi w:val="0"/>
              <w:spacing w:before="0" w:after="283"/>
              <w:jc w:val="both"/>
              <w:rPr>
                <w:sz w:val="20"/>
              </w:rPr>
            </w:pPr>
            <w:r>
              <w:rPr>
                <w:sz w:val="20"/>
              </w:rPr>
              <w:t>Furnished herewith.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8300" w:type="dxa"/>
            <w:tcBorders/>
            <w:vAlign w:val="center"/>
          </w:tcPr>
          <w:p>
            <w:pPr>
              <w:pStyle w:val="TableContents"/>
              <w:bidi w:val="0"/>
              <w:spacing w:before="0" w:after="283"/>
              <w:jc w:val="both"/>
              <w:rPr>
                <w:sz w:val="20"/>
              </w:rPr>
            </w:pPr>
            <w:r>
              <w:rPr>
                <w:sz w:val="20"/>
              </w:rPr>
              <w:t>Incorporated by reference to the Company’s Current Report on Form 8-K filed on September 26, 2022.</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8300" w:type="dxa"/>
            <w:tcBorders/>
            <w:vAlign w:val="center"/>
          </w:tcPr>
          <w:p>
            <w:pPr>
              <w:pStyle w:val="TableContents"/>
              <w:bidi w:val="0"/>
              <w:spacing w:before="0" w:after="283"/>
              <w:jc w:val="both"/>
              <w:rPr>
                <w:sz w:val="20"/>
              </w:rPr>
            </w:pPr>
            <w:r>
              <w:rPr>
                <w:sz w:val="20"/>
              </w:rPr>
              <w:t>Incorporated by reference to the Company’s Current Report on Form 8-K filed on March 20,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(3)</w:t>
            </w:r>
          </w:p>
        </w:tc>
        <w:tc>
          <w:tcPr>
            <w:tcW w:w="8300" w:type="dxa"/>
            <w:tcBorders/>
            <w:vAlign w:val="center"/>
          </w:tcPr>
          <w:p>
            <w:pPr>
              <w:pStyle w:val="TableContents"/>
              <w:bidi w:val="0"/>
              <w:spacing w:before="0" w:after="283"/>
              <w:jc w:val="both"/>
              <w:rPr>
                <w:sz w:val="20"/>
              </w:rPr>
            </w:pPr>
            <w:r>
              <w:rPr>
                <w:sz w:val="20"/>
              </w:rPr>
              <w:t>Incorporated by reference to the Company’s Annual Report on Form 10-K filed on May 24,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w:t>
            </w:r>
          </w:p>
        </w:tc>
        <w:tc>
          <w:tcPr>
            <w:tcW w:w="8300" w:type="dxa"/>
            <w:tcBorders/>
            <w:vAlign w:val="center"/>
          </w:tcPr>
          <w:p>
            <w:pPr>
              <w:pStyle w:val="TableContents"/>
              <w:bidi w:val="0"/>
              <w:spacing w:before="0" w:after="283"/>
              <w:jc w:val="both"/>
              <w:rPr>
                <w:sz w:val="20"/>
              </w:rPr>
            </w:pPr>
            <w:r>
              <w:rPr>
                <w:sz w:val="20"/>
              </w:rPr>
              <w:t>Indicates a management contract or compensatory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16" w:name="a_019"/>
      <w:bookmarkEnd w:id="816"/>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9885" w:type="dxa"/>
        <w:jc w:val="left"/>
        <w:tblInd w:w="0" w:type="dxa"/>
        <w:tblLayout w:type="fixed"/>
        <w:tblCellMar>
          <w:top w:w="0" w:type="dxa"/>
          <w:left w:w="0" w:type="dxa"/>
          <w:bottom w:w="0" w:type="dxa"/>
          <w:right w:w="0" w:type="dxa"/>
        </w:tblCellMar>
      </w:tblPr>
      <w:tblGrid>
        <w:gridCol w:w="1640"/>
        <w:gridCol w:w="545"/>
        <w:gridCol w:w="7700"/>
      </w:tblGrid>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82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INC.</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77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31, 2024</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Khurram Sheikh</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7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Khurram Sheikh</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7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Chief Executive Officer,</w:t>
              <w:br/>
              <w:t>Interim Chief Financial Officer and Director</w:t>
              <w:br/>
              <w:t>(Principal Executive Officer, Principal Financial Officer and Principal Accounting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ind w:left="0" w:right="0" w:hanging="0"/>
        <w:jc w:val="center"/>
        <w:rPr>
          <w:caps w:val="false"/>
          <w:smallCaps w:val="false"/>
        </w:rPr>
      </w:pPr>
      <w:bookmarkStart w:id="817" w:name="cxappinc_ex31-1.htm"/>
      <w:bookmarkStart w:id="818" w:name="kscxappinc_ex311"/>
      <w:bookmarkEnd w:id="817"/>
      <w:bookmarkEnd w:id="8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RULES 13a-14(a) AND 15d-14(a) UNDER THE SECURITIES EXCHANGE ACT OF 1934,</w:t>
        <w:b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Khurram Sheikh,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CXApp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31, 2024</w:t>
      </w:r>
    </w:p>
    <w:p>
      <w:pPr>
        <w:pStyle w:val="TextBody"/>
        <w:bidi w:val="0"/>
        <w:spacing w:before="0" w:after="0"/>
        <w:ind w:left="0" w:right="0" w:hanging="0"/>
        <w:jc w:val="both"/>
        <w:rPr>
          <w:caps w:val="false"/>
          <w:smallCaps w:val="false"/>
        </w:rPr>
      </w:pPr>
      <w:r>
        <w:rPr>
          <w:caps w:val="false"/>
          <w:smallCaps w:val="false"/>
        </w:rPr>
        <w:t> </w:t>
      </w:r>
    </w:p>
    <w:tbl>
      <w:tblPr>
        <w:tblW w:w="7445" w:type="dxa"/>
        <w:jc w:val="left"/>
        <w:tblInd w:w="0" w:type="dxa"/>
        <w:tblLayout w:type="fixed"/>
        <w:tblCellMar>
          <w:top w:w="0" w:type="dxa"/>
          <w:left w:w="0" w:type="dxa"/>
          <w:bottom w:w="0" w:type="dxa"/>
          <w:right w:w="0" w:type="dxa"/>
        </w:tblCellMar>
      </w:tblPr>
      <w:tblGrid>
        <w:gridCol w:w="75"/>
        <w:gridCol w:w="7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Khurram Sheikh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Khurram Sheikh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Chairman, Chief Executive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Interim Chief Financial Officer and Director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Executive Officer, Principal Financial Officer and Principal Accounting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jc w:val="left"/>
        <w:rPr/>
      </w:pPr>
      <w:bookmarkStart w:id="819" w:name="cxappinc_ex31-2.htm"/>
      <w:bookmarkStart w:id="820" w:name="kscxappinc_ex312"/>
      <w:bookmarkEnd w:id="819"/>
      <w:bookmarkEnd w:id="82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RULES 13a-14(a) AND 15d-14(a) UNDER THE SECURITIES EXCHANGE ACT OF 1934,</w:t>
        <w:b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Khurram Sheikh,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CXApp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31, 2024</w:t>
      </w:r>
    </w:p>
    <w:p>
      <w:pPr>
        <w:pStyle w:val="TextBody"/>
        <w:bidi w:val="0"/>
        <w:spacing w:before="0" w:after="0"/>
        <w:ind w:left="0" w:right="0" w:hanging="0"/>
        <w:jc w:val="both"/>
        <w:rPr>
          <w:caps w:val="false"/>
          <w:smallCaps w:val="false"/>
        </w:rPr>
      </w:pPr>
      <w:r>
        <w:rPr>
          <w:caps w:val="false"/>
          <w:smallCaps w:val="false"/>
        </w:rPr>
        <w:t> </w:t>
      </w:r>
    </w:p>
    <w:tbl>
      <w:tblPr>
        <w:tblW w:w="7400" w:type="dxa"/>
        <w:jc w:val="left"/>
        <w:tblInd w:w="0" w:type="dxa"/>
        <w:tblLayout w:type="fixed"/>
        <w:tblCellMar>
          <w:top w:w="0" w:type="dxa"/>
          <w:left w:w="0" w:type="dxa"/>
          <w:bottom w:w="0" w:type="dxa"/>
          <w:right w:w="0" w:type="dxa"/>
        </w:tblCellMar>
      </w:tblPr>
      <w:tblGrid>
        <w:gridCol w:w="75"/>
        <w:gridCol w:w="7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Khurram Sheikh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Khurram Sheikh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Principal Financial Officer and Principal Accounting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jc w:val="left"/>
        <w:rPr/>
      </w:pPr>
      <w:bookmarkStart w:id="821" w:name="cxappinc_ex32-1.htm"/>
      <w:bookmarkStart w:id="822" w:name="kscxappinc_ex321"/>
      <w:bookmarkEnd w:id="821"/>
      <w:bookmarkEnd w:id="82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18 U.S.C. SECTION 1350</w:t>
        <w:br/>
        <w:t>AS ADOPTED PURSUANT TO</w:t>
        <w:b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CXApp Inc. (the “Company”) on Form 10-Q for the quarterly period ended March 31, 2024, as filed with the Securities and Exchange Commission (the “Report”), I, Khurram Sheikh, Chairman, Chief Executive Officer and Director of the Company, certify, pursuant to 18 U.S.C. §1350, as adopted pursuant to §906 of the Sarbanes-Oxley Act of 2002, that, to the best of my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31, 2024</w:t>
      </w:r>
    </w:p>
    <w:p>
      <w:pPr>
        <w:pStyle w:val="TextBody"/>
        <w:bidi w:val="0"/>
        <w:spacing w:before="0" w:after="0"/>
        <w:ind w:left="0" w:right="0" w:hanging="0"/>
        <w:jc w:val="both"/>
        <w:rPr>
          <w:caps w:val="false"/>
          <w:smallCaps w:val="false"/>
        </w:rPr>
      </w:pPr>
      <w:r>
        <w:rPr>
          <w:caps w:val="false"/>
          <w:smallCaps w:val="false"/>
        </w:rPr>
        <w:t> </w:t>
      </w:r>
    </w:p>
    <w:tbl>
      <w:tblPr>
        <w:tblW w:w="7400" w:type="dxa"/>
        <w:jc w:val="left"/>
        <w:tblInd w:w="0" w:type="dxa"/>
        <w:tblLayout w:type="fixed"/>
        <w:tblCellMar>
          <w:top w:w="0" w:type="dxa"/>
          <w:left w:w="0" w:type="dxa"/>
          <w:bottom w:w="0" w:type="dxa"/>
          <w:right w:w="0" w:type="dxa"/>
        </w:tblCellMar>
      </w:tblPr>
      <w:tblGrid>
        <w:gridCol w:w="75"/>
        <w:gridCol w:w="7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Khurram Sheikh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Khurram Sheikh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Principal Financial Officer and Principal Accounting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jc w:val="left"/>
        <w:rPr/>
      </w:pPr>
      <w:bookmarkStart w:id="823" w:name="cxappinc_ex32-2.htm"/>
      <w:bookmarkStart w:id="824" w:name="kscxappinc_ex322"/>
      <w:bookmarkEnd w:id="823"/>
      <w:bookmarkEnd w:id="8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CERTIFICATION PURSUANT TO</w:t>
        <w:br/>
        <w:t>18 U.S.C. SECTION 1350</w:t>
        <w:br/>
        <w:t>(AS ADOPTED PURSUANT TO</w:t>
        <w:b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CXApp Inc. (the “Company”) on Form 10-Q for the quarterly period ended March 31, 2024, as filed with the Securities and Exchange Commission (the “Report”), I, Khurram Sheikh, Chief Financial Officer of the Company, certify, pursuant to 18 U.S.C. §1350, as adopted pursuant to §906 of the Sarbanes-Oxley Act of 2002, that, to the best of my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31, 2024</w:t>
      </w:r>
    </w:p>
    <w:p>
      <w:pPr>
        <w:pStyle w:val="TextBody"/>
        <w:bidi w:val="0"/>
        <w:spacing w:before="0" w:after="0"/>
        <w:ind w:left="0" w:right="0" w:hanging="0"/>
        <w:jc w:val="both"/>
        <w:rPr>
          <w:caps w:val="false"/>
          <w:smallCaps w:val="false"/>
        </w:rPr>
      </w:pPr>
      <w:r>
        <w:rPr>
          <w:caps w:val="false"/>
          <w:smallCaps w:val="false"/>
        </w:rPr>
        <w:t> </w:t>
      </w:r>
    </w:p>
    <w:tbl>
      <w:tblPr>
        <w:tblW w:w="7400" w:type="dxa"/>
        <w:jc w:val="left"/>
        <w:tblInd w:w="0" w:type="dxa"/>
        <w:tblLayout w:type="fixed"/>
        <w:tblCellMar>
          <w:top w:w="0" w:type="dxa"/>
          <w:left w:w="0" w:type="dxa"/>
          <w:bottom w:w="0" w:type="dxa"/>
          <w:right w:w="0" w:type="dxa"/>
        </w:tblCellMar>
      </w:tblPr>
      <w:tblGrid>
        <w:gridCol w:w="75"/>
        <w:gridCol w:w="7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Khurram Sheikh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Khurram Sheikh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Principal Financial Officer and Principal Accounting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875/000110465922102856/tm2226567d1_ex2-1.htm" TargetMode="External"/><Relationship Id="rId3" Type="http://schemas.openxmlformats.org/officeDocument/2006/relationships/hyperlink" Target="https://www.sec.gov/Archives/edgar/data/1820875/000110465922102856/tm2226567d1_ex2-2.htm" TargetMode="External"/><Relationship Id="rId4" Type="http://schemas.openxmlformats.org/officeDocument/2006/relationships/hyperlink" Target="https://www.sec.gov/Archives/edgar/data/1820875/000110465922102856/tm2226567d1_ex2-3.htm" TargetMode="External"/><Relationship Id="rId5" Type="http://schemas.openxmlformats.org/officeDocument/2006/relationships/hyperlink" Target="https://www.sec.gov/Archives/edgar/data/0001820875/000110465923034553/tm239336d1_ex3-1.htm" TargetMode="External"/><Relationship Id="rId6" Type="http://schemas.openxmlformats.org/officeDocument/2006/relationships/hyperlink" Target="https://www.sec.gov/Archives/edgar/data/0001820875/000110465923034553/tm239336d1_ex3-2.htm" TargetMode="External"/><Relationship Id="rId7" Type="http://schemas.openxmlformats.org/officeDocument/2006/relationships/hyperlink" Target="https://www.sec.gov/Archives/edgar/data/1820875/000110465920138071/tm2038766d1ex4-1.htm" TargetMode="External"/><Relationship Id="rId8" Type="http://schemas.openxmlformats.org/officeDocument/2006/relationships/hyperlink" Target="https://www.sec.gov/Archives/edgar/data/0001820875/000110465923034553/tm239336d1_ex4-2.htm" TargetMode="External"/><Relationship Id="rId9" Type="http://schemas.openxmlformats.org/officeDocument/2006/relationships/hyperlink" Target="https://www.sec.gov/Archives/edgar/data/0001820875/000110465923034553/tm239336d1_ex4-3.htm" TargetMode="External"/><Relationship Id="rId10" Type="http://schemas.openxmlformats.org/officeDocument/2006/relationships/hyperlink" Target="http://www.sec.gov/Archives/edgar/data/1820875/000110465920138071/tm2038766d1ex4-1.htm" TargetMode="External"/><Relationship Id="rId11" Type="http://schemas.openxmlformats.org/officeDocument/2006/relationships/hyperlink" Target="https://www.sec.gov/Archives/edgar/data/0001820875/000110465923034553/tm239336d1_ex10-9.htm" TargetMode="External"/><Relationship Id="rId12" Type="http://schemas.openxmlformats.org/officeDocument/2006/relationships/hyperlink" Target="https://www.sec.gov/Archives/edgar/data/0001820875/000110465923034553/tm239336d1_ex10-10.htm" TargetMode="External"/><Relationship Id="rId13" Type="http://schemas.openxmlformats.org/officeDocument/2006/relationships/hyperlink" Target="https://www.sec.gov/Archives/edgar/data/0001820875/000110465923034553/tm239336d1_ex10-11.htm" TargetMode="External"/><Relationship Id="rId14" Type="http://schemas.openxmlformats.org/officeDocument/2006/relationships/hyperlink" Target="https://www.sec.gov/Archives/edgar/data/0001820875/000110465923034553/tm239336d1_ex10-12.htm" TargetMode="External"/><Relationship Id="rId15" Type="http://schemas.openxmlformats.org/officeDocument/2006/relationships/hyperlink" Target="https://www.sec.gov/Archives/edgar/data/1820875/000110465923040315/tm2311221d1_ex10-1.htm" TargetMode="External"/><Relationship Id="rId16" Type="http://schemas.openxmlformats.org/officeDocument/2006/relationships/hyperlink" Target="https://www.sec.gov/Archives/edgar/data/0001820875/000110465923034553/tm239336d1_ex10-14.htm" TargetMode="External"/><Relationship Id="rId17" Type="http://schemas.openxmlformats.org/officeDocument/2006/relationships/hyperlink" Target="http://www.sec.gov/Archives/edgar/data/1820875/000182912624003713/cxappinc_ex10-8.htm" TargetMode="External"/><Relationship Id="rId18" Type="http://schemas.openxmlformats.org/officeDocument/2006/relationships/hyperlink" Target="https://www.sec.gov/Archives/edgar/data/0001820875/000110465923034553/tm239336d1_ex14-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21730</Words>
  <Characters>118972</Characters>
  <CharactersWithSpaces>142329</CharactersWithSpaces>
  <Paragraphs>5909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