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htm"/>
      <w:bookmarkStart w:id="1" w:name="kscxappinc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61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June 23, 2026 (</w:t>
      </w:r>
      <w:bookmarkStart w:id="3" w:name="xdx_906_edei--DocumentPeriodEndDate_c202"/>
      <w:bookmarkEnd w:id="3"/>
      <w:r>
        <w:rPr>
          <w:rFonts w:ascii="Times New Roman;Times;Serif" w:hAnsi="Times New Roman;Times;Serif"/>
          <w:b/>
          <w:i w:val="false"/>
          <w:caps w:val="false"/>
          <w:smallCaps w:val="false"/>
          <w:sz w:val="20"/>
        </w:rPr>
        <w:t>June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415" w:type="dxa"/>
        <w:jc w:val="left"/>
        <w:tblInd w:w="0" w:type="dxa"/>
        <w:tblLayout w:type="fixed"/>
        <w:tblCellMar>
          <w:top w:w="0" w:type="dxa"/>
          <w:left w:w="0" w:type="dxa"/>
          <w:bottom w:w="28" w:type="dxa"/>
          <w:right w:w="0" w:type="dxa"/>
        </w:tblCellMar>
      </w:tblPr>
      <w:tblGrid>
        <w:gridCol w:w="2270"/>
        <w:gridCol w:w="60"/>
        <w:gridCol w:w="1145"/>
        <w:gridCol w:w="60"/>
        <w:gridCol w:w="1880"/>
      </w:tblGrid>
      <w:tr>
        <w:trPr/>
        <w:tc>
          <w:tcPr>
            <w:tcW w:w="2270" w:type="dxa"/>
            <w:tcBorders>
              <w:bottom w:val="single" w:sz="8" w:space="0" w:color="000000"/>
            </w:tcBorders>
            <w:vAlign w:val="center"/>
          </w:tcPr>
          <w:p>
            <w:pPr>
              <w:pStyle w:val="TableContents"/>
              <w:bidi w:val="0"/>
              <w:spacing w:before="0" w:after="283"/>
              <w:jc w:val="center"/>
              <w:rPr>
                <w:b/>
              </w:rPr>
            </w:pPr>
            <w:bookmarkStart w:id="5" w:name="xdx_904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bookmarkStart w:id="6" w:name="xdx_908_edei--EntityFileNumber_c20260616"/>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8" w:space="0" w:color="000000"/>
            </w:tcBorders>
            <w:vAlign w:val="center"/>
          </w:tcPr>
          <w:p>
            <w:pPr>
              <w:pStyle w:val="TableContents"/>
              <w:bidi w:val="0"/>
              <w:spacing w:before="0" w:after="283"/>
              <w:jc w:val="center"/>
              <w:rPr>
                <w:b/>
              </w:rPr>
            </w:pPr>
            <w:bookmarkStart w:id="7" w:name="xdx_90E_edei--EntityTaxIdentificationNum"/>
            <w:bookmarkEnd w:id="7"/>
            <w:r>
              <w:rPr>
                <w:b/>
              </w:rPr>
              <w:t>85-2104918</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0"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28" w:type="dxa"/>
          <w:right w:w="0" w:type="dxa"/>
        </w:tblCellMar>
      </w:tblPr>
      <w:tblGrid>
        <w:gridCol w:w="3935"/>
        <w:gridCol w:w="60"/>
        <w:gridCol w:w="1145"/>
      </w:tblGrid>
      <w:tr>
        <w:trPr/>
        <w:tc>
          <w:tcPr>
            <w:tcW w:w="39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Four Palo Alto Square, </w:t>
            </w:r>
            <w:bookmarkStart w:id="9" w:name="xdx_902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AddressLine3_"/>
            <w:bookmarkEnd w:id="10"/>
            <w:r>
              <w:rPr>
                <w:rFonts w:ascii="Times New Roman;Times;Serif" w:hAnsi="Times New Roman;Times;Serif"/>
                <w:b/>
                <w:i w:val="false"/>
                <w:caps w:val="false"/>
                <w:smallCaps w:val="false"/>
                <w:sz w:val="20"/>
              </w:rPr>
              <w:t>3000 El Camino Real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CityOrTown_c2"/>
            <w:bookmarkEnd w:id="11"/>
            <w:r>
              <w:rPr>
                <w:rFonts w:ascii="Times New Roman;Times;Serif" w:hAnsi="Times New Roman;Times;Serif"/>
                <w:b/>
                <w:i w:val="false"/>
                <w:caps w:val="false"/>
                <w:smallCaps w:val="false"/>
                <w:sz w:val="20"/>
              </w:rPr>
              <w:t xml:space="preserve">California, </w:t>
            </w:r>
            <w:bookmarkStart w:id="12" w:name="xdx_907_edei--EntityAddressStateOrProvin"/>
            <w:bookmarkEnd w:id="12"/>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bookmarkStart w:id="13" w:name="xdx_906_edei--EntityAddressPostalZipCode"/>
            <w:bookmarkEnd w:id="13"/>
            <w:r>
              <w:rPr>
                <w:b/>
              </w:rPr>
              <w:t>94306</w:t>
            </w:r>
          </w:p>
        </w:tc>
      </w:tr>
      <w:tr>
        <w:trPr/>
        <w:tc>
          <w:tcPr>
            <w:tcW w:w="3935"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B_edei--CityAreaCode_c20260616__20"/>
      <w:bookmarkEnd w:id="14"/>
      <w:r>
        <w:rPr>
          <w:rFonts w:ascii="Times New Roman;Times;Serif" w:hAnsi="Times New Roman;Times;Serif"/>
          <w:b/>
          <w:i w:val="false"/>
          <w:caps w:val="false"/>
          <w:smallCaps w:val="false"/>
          <w:sz w:val="20"/>
        </w:rPr>
        <w:t xml:space="preserve">(650) </w:t>
      </w:r>
      <w:bookmarkStart w:id="15" w:name="xdx_90F_edei--LocalPhoneNumber_c20260616"/>
      <w:bookmarkEnd w:id="15"/>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SolicitingMaterial_c202606"/>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4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0" w:name="xdx_907_edei--Security12bTitle_c20260616"/>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1" w:name="xdx_900_edei--TradingSymbol_c20260616__2"/>
            <w:bookmarkEnd w:id="21"/>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2" w:name="xdx_90C_edei--SecurityExchangeName_c2026"/>
            <w:bookmarkEnd w:id="22"/>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3" w:name="xdx_90C_edei--Security12bTitle_c20260616"/>
            <w:bookmarkEnd w:id="23"/>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4" w:name="xdx_905_edei--TradingSymbol_c20260616__2"/>
            <w:bookmarkEnd w:id="24"/>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5" w:name="xdx_900_edei--SecurityExchangeName_c2026"/>
            <w:bookmarkEnd w:id="25"/>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E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annual meeting of the stockholders (the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of CXApp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CXApp</w:t>
      </w:r>
      <w:r>
        <w:rPr>
          <w:rFonts w:ascii="Times New Roman;Times;Serif" w:hAnsi="Times New Roman;Times;Serif"/>
          <w:b w:val="false"/>
          <w:i w:val="false"/>
          <w:caps w:val="false"/>
          <w:smallCaps w:val="false"/>
          <w:sz w:val="20"/>
        </w:rPr>
        <w:t>”), held on June 16, 2026 at 2:00 p.m., Pacific Time, virtually via live webcast in connection with the stockholder vote on the proposals listed below, holders of 30,592,312 shares of CXApp common stock were present virtually or represented by proxy, representing 44.32% of CXApp’s common stock outstanding and entitled to vote as of April 17, 2026, the record date for the Annual Meeting, and constituting a quorum for the transaction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for each matter submitted to a vote of the Company stockholders at the Annual Meeting are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in parentheses represent the percentage of shares voted on the applicable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To elect Khurram P. Sheikh to serve as a Class III director to hold office until the date of the annual meeting of stockholders following the fiscal year ending December 31, 2028, and until his successor is duly elected and qualified, or until his earlier death, disqualification, resignation or removal.</w:t>
            </w:r>
          </w:p>
        </w:tc>
      </w:tr>
    </w:tbl>
    <w:p>
      <w:pPr>
        <w:pStyle w:val="TextBody"/>
        <w:bidi w:val="0"/>
        <w:spacing w:before="0" w:after="283"/>
        <w:jc w:val="left"/>
        <w:rPr/>
      </w:pPr>
      <w:r>
        <w:rPr/>
        <w:t> </w:t>
      </w:r>
    </w:p>
    <w:tbl>
      <w:tblPr>
        <w:tblW w:w="6425" w:type="dxa"/>
        <w:jc w:val="left"/>
        <w:tblInd w:w="-10" w:type="dxa"/>
        <w:tblLayout w:type="fixed"/>
        <w:tblCellMar>
          <w:top w:w="28" w:type="dxa"/>
          <w:left w:w="28" w:type="dxa"/>
          <w:bottom w:w="28" w:type="dxa"/>
          <w:right w:w="0" w:type="dxa"/>
        </w:tblCellMar>
      </w:tblPr>
      <w:tblGrid>
        <w:gridCol w:w="1850"/>
        <w:gridCol w:w="1475"/>
        <w:gridCol w:w="1475"/>
        <w:gridCol w:w="1625"/>
      </w:tblGrid>
      <w:tr>
        <w:trPr/>
        <w:tc>
          <w:tcPr>
            <w:tcW w:w="18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47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162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85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10,780,651 (90.29%)</w:t>
            </w:r>
          </w:p>
        </w:tc>
        <w:tc>
          <w:tcPr>
            <w:tcW w:w="14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702,534 (5.88%)</w:t>
            </w:r>
          </w:p>
        </w:tc>
        <w:tc>
          <w:tcPr>
            <w:tcW w:w="14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455,826 (3.81%)</w:t>
            </w:r>
          </w:p>
        </w:tc>
        <w:tc>
          <w:tcPr>
            <w:tcW w:w="16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18,653,301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Mr. Sheikh was duly elected to serve as a Class III director to hold office until the date of the annual meeting of stockholders following the fiscal year ending December 31, 2028, and until his successor is duly elected and qualified, or until his earlier death, disqualification, resignation or removal.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To elect George Mathai to serve as a Class III director to hold office until the date of the annual meeting of stockholders following the fiscal year ending December 31, 2028, and until his successor is duly elected and qualified, or until his earlier death, disqualification, resignation or removal.</w:t>
            </w:r>
          </w:p>
        </w:tc>
      </w:tr>
    </w:tbl>
    <w:p>
      <w:pPr>
        <w:pStyle w:val="TextBody"/>
        <w:bidi w:val="0"/>
        <w:spacing w:before="0" w:after="283"/>
        <w:jc w:val="left"/>
        <w:rPr/>
      </w:pPr>
      <w:r>
        <w:rPr/>
        <w:t> </w:t>
      </w:r>
    </w:p>
    <w:tbl>
      <w:tblPr>
        <w:tblW w:w="6425" w:type="dxa"/>
        <w:jc w:val="left"/>
        <w:tblInd w:w="-10" w:type="dxa"/>
        <w:tblLayout w:type="fixed"/>
        <w:tblCellMar>
          <w:top w:w="28" w:type="dxa"/>
          <w:left w:w="28" w:type="dxa"/>
          <w:bottom w:w="28" w:type="dxa"/>
          <w:right w:w="0" w:type="dxa"/>
        </w:tblCellMar>
      </w:tblPr>
      <w:tblGrid>
        <w:gridCol w:w="1850"/>
        <w:gridCol w:w="1475"/>
        <w:gridCol w:w="1475"/>
        <w:gridCol w:w="1625"/>
      </w:tblGrid>
      <w:tr>
        <w:trPr/>
        <w:tc>
          <w:tcPr>
            <w:tcW w:w="18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47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162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85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10,717,780 (89.77%)</w:t>
            </w:r>
          </w:p>
        </w:tc>
        <w:tc>
          <w:tcPr>
            <w:tcW w:w="14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774,518 (6.48%)</w:t>
            </w:r>
          </w:p>
        </w:tc>
        <w:tc>
          <w:tcPr>
            <w:tcW w:w="14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446,713 (3.74%)</w:t>
            </w:r>
          </w:p>
        </w:tc>
        <w:tc>
          <w:tcPr>
            <w:tcW w:w="16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18,653,301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Mr. Mathai was duly elected to serve as a Class III director to hold office until the date of the annual meeting of stockholders following the fiscal year ending December 31, 2028, and until his successor is duly elected and qualified, or until his earlier death, disqualification, resignation or removal.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To approve the issuance of shares of CXApp common stock (or securities convertible into or exercisable for CXApp common stock) in one or more private placements in excess of 20% of the Company’s outstanding common stock.</w:t>
            </w:r>
          </w:p>
        </w:tc>
      </w:tr>
    </w:tbl>
    <w:p>
      <w:pPr>
        <w:pStyle w:val="TextBody"/>
        <w:bidi w:val="0"/>
        <w:spacing w:before="0" w:after="283"/>
        <w:jc w:val="left"/>
        <w:rPr/>
      </w:pPr>
      <w:r>
        <w:rPr/>
        <w:t> </w:t>
      </w:r>
    </w:p>
    <w:tbl>
      <w:tblPr>
        <w:tblW w:w="6575" w:type="dxa"/>
        <w:jc w:val="left"/>
        <w:tblInd w:w="-10" w:type="dxa"/>
        <w:tblLayout w:type="fixed"/>
        <w:tblCellMar>
          <w:top w:w="28" w:type="dxa"/>
          <w:left w:w="28" w:type="dxa"/>
          <w:bottom w:w="28" w:type="dxa"/>
          <w:right w:w="0" w:type="dxa"/>
        </w:tblCellMar>
      </w:tblPr>
      <w:tblGrid>
        <w:gridCol w:w="1745"/>
        <w:gridCol w:w="1730"/>
        <w:gridCol w:w="1475"/>
        <w:gridCol w:w="1625"/>
      </w:tblGrid>
      <w:tr>
        <w:trPr/>
        <w:tc>
          <w:tcPr>
            <w:tcW w:w="174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73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162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74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9,263,367 (77.58%)</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2,446,247 (20.48%)</w:t>
            </w:r>
          </w:p>
        </w:tc>
        <w:tc>
          <w:tcPr>
            <w:tcW w:w="14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229,397 (1.92%)</w:t>
            </w:r>
          </w:p>
        </w:tc>
        <w:tc>
          <w:tcPr>
            <w:tcW w:w="16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18,653,301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the stockholders approved the issuance of shares of CXApp common stock (or securities convertible into or exercisable for CXApp common stock) in one or more private placements in excess of 20% of the Company’s outstanding common stock.</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To authorize the Board, at its discretion, to approve (i) a reverse stock split of the Company’s common stock with a ratio between 1-for-5 and 1-for-100, for the primary purpose of maintaining CXApp’s listing on the Nasdaq Stock Market, and (ii) the amendment of the Company’s certificate of incorporation to reflect the reverse stock split.</w:t>
            </w:r>
          </w:p>
        </w:tc>
      </w:tr>
    </w:tbl>
    <w:p>
      <w:pPr>
        <w:pStyle w:val="TextBody"/>
        <w:bidi w:val="0"/>
        <w:spacing w:before="0" w:after="283"/>
        <w:jc w:val="left"/>
        <w:rPr/>
      </w:pPr>
      <w:r>
        <w:rPr/>
        <w:t> </w:t>
      </w:r>
    </w:p>
    <w:tbl>
      <w:tblPr>
        <w:tblW w:w="6830" w:type="dxa"/>
        <w:jc w:val="left"/>
        <w:tblInd w:w="-10" w:type="dxa"/>
        <w:tblLayout w:type="fixed"/>
        <w:tblCellMar>
          <w:top w:w="28" w:type="dxa"/>
          <w:left w:w="28" w:type="dxa"/>
          <w:bottom w:w="28" w:type="dxa"/>
          <w:right w:w="0" w:type="dxa"/>
        </w:tblCellMar>
      </w:tblPr>
      <w:tblGrid>
        <w:gridCol w:w="1850"/>
        <w:gridCol w:w="1730"/>
        <w:gridCol w:w="1625"/>
        <w:gridCol w:w="1625"/>
      </w:tblGrid>
      <w:tr>
        <w:trPr/>
        <w:tc>
          <w:tcPr>
            <w:tcW w:w="18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73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62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162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85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19,757,330 (64.58%)</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9,752,018 (31.87%)</w:t>
            </w:r>
          </w:p>
        </w:tc>
        <w:tc>
          <w:tcPr>
            <w:tcW w:w="162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1,082,964 (3.53%)</w:t>
            </w:r>
          </w:p>
        </w:tc>
        <w:tc>
          <w:tcPr>
            <w:tcW w:w="16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the stockholders authorized the Board, at its discretion, to approve (i) a reverse stock split of the Company’s common stock with a ratio between 1-for-5 and 1-for-100, for the primary purpose of maintaining CXApp’s listing on the Nasdaq Stock Market, and (ii) the amendment of the Company’s certificate of incorporation to reflect the reverse stock split.</w:t>
      </w:r>
    </w:p>
    <w:p>
      <w:pPr>
        <w:pStyle w:val="TextBody"/>
        <w:bidi w:val="0"/>
        <w:spacing w:before="0" w:after="283"/>
        <w:jc w:val="left"/>
        <w:rPr/>
      </w:pPr>
      <w:r>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5:</w:t>
            </w:r>
            <w:r>
              <w:rPr>
                <w:rFonts w:ascii="Times New Roman;Times;Serif" w:hAnsi="Times New Roman;Times;Serif"/>
                <w:b w:val="false"/>
                <w:i w:val="false"/>
                <w:caps w:val="false"/>
                <w:smallCaps w:val="false"/>
                <w:sz w:val="20"/>
              </w:rPr>
              <w:t xml:space="preserve"> To approve, on a non-binding advisory basis, the compensation of our named executive officers.</w:t>
            </w:r>
          </w:p>
        </w:tc>
      </w:tr>
    </w:tbl>
    <w:p>
      <w:pPr>
        <w:pStyle w:val="TextBody"/>
        <w:bidi w:val="0"/>
        <w:spacing w:before="0" w:after="283"/>
        <w:jc w:val="left"/>
        <w:rPr/>
      </w:pPr>
      <w:r>
        <w:rPr/>
        <w:t> </w:t>
      </w:r>
    </w:p>
    <w:tbl>
      <w:tblPr>
        <w:tblW w:w="6680" w:type="dxa"/>
        <w:jc w:val="left"/>
        <w:tblInd w:w="-10" w:type="dxa"/>
        <w:tblLayout w:type="fixed"/>
        <w:tblCellMar>
          <w:top w:w="28" w:type="dxa"/>
          <w:left w:w="28" w:type="dxa"/>
          <w:bottom w:w="28" w:type="dxa"/>
          <w:right w:w="0" w:type="dxa"/>
        </w:tblCellMar>
      </w:tblPr>
      <w:tblGrid>
        <w:gridCol w:w="1850"/>
        <w:gridCol w:w="1730"/>
        <w:gridCol w:w="1475"/>
        <w:gridCol w:w="1625"/>
      </w:tblGrid>
      <w:tr>
        <w:trPr/>
        <w:tc>
          <w:tcPr>
            <w:tcW w:w="18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73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162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85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10,016,834 (83.90%)</w:t>
            </w:r>
          </w:p>
        </w:tc>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1,477,665 (12.37%)</w:t>
            </w:r>
          </w:p>
        </w:tc>
        <w:tc>
          <w:tcPr>
            <w:tcW w:w="14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444,512 (3.72%)</w:t>
            </w:r>
          </w:p>
        </w:tc>
        <w:tc>
          <w:tcPr>
            <w:tcW w:w="16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18,653,301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the stockholders approved, on a non-binding advisory basis,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6:</w:t>
            </w:r>
            <w:r>
              <w:rPr>
                <w:rFonts w:ascii="Times New Roman;Times;Serif" w:hAnsi="Times New Roman;Times;Serif"/>
                <w:b w:val="false"/>
                <w:i w:val="false"/>
                <w:caps w:val="false"/>
                <w:smallCaps w:val="false"/>
                <w:sz w:val="20"/>
              </w:rPr>
              <w:t xml:space="preserve"> To approve, on a non-binding advisory basis, the frequency of future advisory votes to approve our named executive officer compensation.</w:t>
            </w:r>
          </w:p>
        </w:tc>
      </w:tr>
    </w:tbl>
    <w:p>
      <w:pPr>
        <w:pStyle w:val="TextBody"/>
        <w:bidi w:val="0"/>
        <w:spacing w:before="0" w:after="283"/>
        <w:jc w:val="left"/>
        <w:rPr/>
      </w:pPr>
      <w:r>
        <w:rPr/>
        <w:t> </w:t>
      </w:r>
    </w:p>
    <w:tbl>
      <w:tblPr>
        <w:tblW w:w="6185" w:type="dxa"/>
        <w:jc w:val="left"/>
        <w:tblInd w:w="-10" w:type="dxa"/>
        <w:tblLayout w:type="fixed"/>
        <w:tblCellMar>
          <w:top w:w="28" w:type="dxa"/>
          <w:left w:w="28" w:type="dxa"/>
          <w:bottom w:w="28" w:type="dxa"/>
          <w:right w:w="0" w:type="dxa"/>
        </w:tblCellMar>
      </w:tblPr>
      <w:tblGrid>
        <w:gridCol w:w="1850"/>
        <w:gridCol w:w="1370"/>
        <w:gridCol w:w="1475"/>
        <w:gridCol w:w="1490"/>
      </w:tblGrid>
      <w:tr>
        <w:trPr/>
        <w:tc>
          <w:tcPr>
            <w:tcW w:w="18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One Year</w:t>
            </w:r>
          </w:p>
        </w:tc>
        <w:tc>
          <w:tcPr>
            <w:tcW w:w="137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Two Years</w:t>
            </w:r>
          </w:p>
        </w:tc>
        <w:tc>
          <w:tcPr>
            <w:tcW w:w="14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Years</w:t>
            </w:r>
          </w:p>
        </w:tc>
        <w:tc>
          <w:tcPr>
            <w:tcW w:w="14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185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10,862,446 (90.98%)</w:t>
            </w:r>
          </w:p>
        </w:tc>
        <w:tc>
          <w:tcPr>
            <w:tcW w:w="137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98,628 (0.82%)</w:t>
            </w:r>
          </w:p>
        </w:tc>
        <w:tc>
          <w:tcPr>
            <w:tcW w:w="14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277,123 (2.32%)</w:t>
            </w:r>
          </w:p>
        </w:tc>
        <w:tc>
          <w:tcPr>
            <w:tcW w:w="14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700,814 (5.86%)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the stockholders approved, on a non-binding advisory basis, the frequency of future advisory votes to approve our named executive officer compensation to be one year.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7:</w:t>
            </w:r>
            <w:r>
              <w:rPr>
                <w:rFonts w:ascii="Times New Roman;Times;Serif" w:hAnsi="Times New Roman;Times;Serif"/>
                <w:b w:val="false"/>
                <w:i w:val="false"/>
                <w:caps w:val="false"/>
                <w:smallCaps w:val="false"/>
                <w:sz w:val="20"/>
              </w:rPr>
              <w:t xml:space="preserve"> To ratify the selection of WithumSmith+Brown, PC as our independent registered public accounting firm for the year ending December 31, 2026.</w:t>
            </w:r>
          </w:p>
        </w:tc>
      </w:tr>
    </w:tbl>
    <w:p>
      <w:pPr>
        <w:pStyle w:val="TextBody"/>
        <w:bidi w:val="0"/>
        <w:spacing w:before="0" w:after="283"/>
        <w:jc w:val="left"/>
        <w:rPr/>
      </w:pPr>
      <w:r>
        <w:rPr/>
        <w:t> </w:t>
      </w:r>
    </w:p>
    <w:tbl>
      <w:tblPr>
        <w:tblW w:w="6725" w:type="dxa"/>
        <w:jc w:val="left"/>
        <w:tblInd w:w="-10" w:type="dxa"/>
        <w:tblLayout w:type="fixed"/>
        <w:tblCellMar>
          <w:top w:w="28" w:type="dxa"/>
          <w:left w:w="28" w:type="dxa"/>
          <w:bottom w:w="28" w:type="dxa"/>
          <w:right w:w="0" w:type="dxa"/>
        </w:tblCellMar>
      </w:tblPr>
      <w:tblGrid>
        <w:gridCol w:w="1850"/>
        <w:gridCol w:w="1625"/>
        <w:gridCol w:w="1625"/>
        <w:gridCol w:w="1625"/>
      </w:tblGrid>
      <w:tr>
        <w:trPr/>
        <w:tc>
          <w:tcPr>
            <w:tcW w:w="18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62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62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162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85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27,534,231 (90.00%)</w:t>
            </w:r>
          </w:p>
        </w:tc>
        <w:tc>
          <w:tcPr>
            <w:tcW w:w="162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1,597,542 (5.22%)</w:t>
            </w:r>
          </w:p>
        </w:tc>
        <w:tc>
          <w:tcPr>
            <w:tcW w:w="162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1,460,539 (4.77%)</w:t>
            </w:r>
          </w:p>
        </w:tc>
        <w:tc>
          <w:tcPr>
            <w:tcW w:w="16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votes set forth above, the stockholders ratified the selection of WithumSmith+Brown, PC as our independent registered public accounting firm for the year ending December 31, 2026.</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1655"/>
        <w:gridCol w:w="320"/>
        <w:gridCol w:w="545"/>
        <w:gridCol w:w="3140"/>
      </w:tblGrid>
      <w:tr>
        <w:trPr/>
        <w:tc>
          <w:tcPr>
            <w:tcW w:w="1655"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CXApp Inc.</w:t>
            </w:r>
          </w:p>
        </w:tc>
      </w:tr>
      <w:tr>
        <w:trPr/>
        <w:tc>
          <w:tcPr>
            <w:tcW w:w="1655"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23,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Khurram P. Sheikh</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Khurram P. Sheikh</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1584</Words>
  <Characters>8811</Characters>
  <CharactersWithSpaces>10344</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