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cxappinc_8ka.htm"/>
      <w:bookmarkStart w:id="1" w:name="kscxappinc_8ka"/>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A_edei--DocumentType_c20260603__20"/>
      <w:bookmarkEnd w:id="2"/>
      <w:r>
        <w:rPr>
          <w:rFonts w:ascii="Times New Roman;Times;Serif" w:hAnsi="Times New Roman;Times;Serif"/>
          <w:b/>
          <w:i w:val="false"/>
          <w:caps w:val="false"/>
          <w:smallCaps w:val="false"/>
          <w:sz w:val="28"/>
        </w:rPr>
        <w:t>8-K/A</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(AMENDMENT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August 19, 2026 (</w:t>
      </w:r>
      <w:bookmarkStart w:id="3" w:name="xdx_904_edei--DocumentPeriodEndDate_c202"/>
      <w:bookmarkEnd w:id="3"/>
      <w:r>
        <w:rPr>
          <w:rFonts w:ascii="Times New Roman;Times;Serif" w:hAnsi="Times New Roman;Times;Serif"/>
          <w:b/>
          <w:i w:val="false"/>
          <w:caps w:val="false"/>
          <w:smallCaps w:val="false"/>
          <w:sz w:val="20"/>
        </w:rPr>
        <w:t>June 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9_edei--EntityRegistrantName_c2026"/>
      <w:bookmarkEnd w:id="4"/>
      <w:r>
        <w:rPr>
          <w:rFonts w:ascii="Times New Roman;Times;Serif" w:hAnsi="Times New Roman;Times;Serif"/>
          <w:b/>
          <w:i w:val="false"/>
          <w:caps w:val="false"/>
          <w:smallCaps w:val="false"/>
          <w:sz w:val="28"/>
        </w:rPr>
        <w:t>CXApp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5160" w:type="dxa"/>
        <w:jc w:val="left"/>
        <w:tblInd w:w="0" w:type="dxa"/>
        <w:tblLayout w:type="fixed"/>
        <w:tblCellMar>
          <w:top w:w="0" w:type="dxa"/>
          <w:left w:w="0" w:type="dxa"/>
          <w:bottom w:w="28" w:type="dxa"/>
          <w:right w:w="0" w:type="dxa"/>
        </w:tblCellMar>
      </w:tblPr>
      <w:tblGrid>
        <w:gridCol w:w="2165"/>
        <w:gridCol w:w="60"/>
        <w:gridCol w:w="1100"/>
        <w:gridCol w:w="60"/>
        <w:gridCol w:w="1775"/>
      </w:tblGrid>
      <w:tr>
        <w:trPr/>
        <w:tc>
          <w:tcPr>
            <w:tcW w:w="2165" w:type="dxa"/>
            <w:tcBorders>
              <w:bottom w:val="single" w:sz="8" w:space="0" w:color="000000"/>
            </w:tcBorders>
            <w:vAlign w:val="center"/>
          </w:tcPr>
          <w:p>
            <w:pPr>
              <w:pStyle w:val="TableContents"/>
              <w:bidi w:val="0"/>
              <w:spacing w:before="0" w:after="283"/>
              <w:jc w:val="center"/>
              <w:rPr>
                <w:b/>
              </w:rPr>
            </w:pPr>
            <w:bookmarkStart w:id="5" w:name="xdx_90B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1100" w:type="dxa"/>
            <w:tcBorders>
              <w:bottom w:val="single" w:sz="8" w:space="0" w:color="000000"/>
            </w:tcBorders>
            <w:vAlign w:val="center"/>
          </w:tcPr>
          <w:p>
            <w:pPr>
              <w:pStyle w:val="TableContents"/>
              <w:bidi w:val="0"/>
              <w:spacing w:before="0" w:after="283"/>
              <w:jc w:val="center"/>
              <w:rPr>
                <w:b/>
              </w:rPr>
            </w:pPr>
            <w:bookmarkStart w:id="6" w:name="xdx_90A_edei--EntityFileNumber_c20260603"/>
            <w:bookmarkEnd w:id="6"/>
            <w:r>
              <w:rPr>
                <w:b/>
              </w:rPr>
              <w:t>001-39642</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8" w:space="0" w:color="000000"/>
            </w:tcBorders>
            <w:vAlign w:val="center"/>
          </w:tcPr>
          <w:p>
            <w:pPr>
              <w:pStyle w:val="TableContents"/>
              <w:bidi w:val="0"/>
              <w:spacing w:before="0" w:after="283"/>
              <w:jc w:val="center"/>
              <w:rPr>
                <w:b/>
              </w:rPr>
            </w:pPr>
            <w:bookmarkStart w:id="7" w:name="xdx_902_edei--EntityTaxIdentificationNum"/>
            <w:bookmarkEnd w:id="7"/>
            <w:r>
              <w:rPr>
                <w:b/>
              </w:rPr>
              <w:t>85-2104918</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75" w:type="dxa"/>
            <w:tcBorders/>
            <w:tcMar>
              <w:bottom w:w="0"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(I.R.S. Employer</w:t>
              <w:br/>
              <w:t>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755"/>
        <w:gridCol w:w="60"/>
        <w:gridCol w:w="1085"/>
      </w:tblGrid>
      <w:tr>
        <w:trPr/>
        <w:tc>
          <w:tcPr>
            <w:tcW w:w="375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Four Palo Alto Square, </w:t>
            </w:r>
            <w:bookmarkStart w:id="9" w:name="xdx_909_edei--EntityAddressAddressLine2_"/>
            <w:bookmarkEnd w:id="9"/>
            <w:r>
              <w:rPr>
                <w:rFonts w:ascii="Times New Roman;Times;Serif" w:hAnsi="Times New Roman;Times;Serif"/>
                <w:b/>
                <w:i w:val="false"/>
                <w:caps w:val="false"/>
                <w:smallCaps w:val="false"/>
                <w:sz w:val="20"/>
              </w:rPr>
              <w:t>Suite 200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A_edei--EntityAddressAddressLine3_"/>
            <w:bookmarkEnd w:id="10"/>
            <w:r>
              <w:rPr>
                <w:rFonts w:ascii="Times New Roman;Times;Serif" w:hAnsi="Times New Roman;Times;Serif"/>
                <w:b/>
                <w:i w:val="false"/>
                <w:caps w:val="false"/>
                <w:smallCaps w:val="false"/>
                <w:sz w:val="20"/>
              </w:rPr>
              <w:t>3000 El Camino Real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A_ecustom--EntityAddressAddressLin"/>
            <w:bookmarkEnd w:id="11"/>
            <w:r>
              <w:rPr>
                <w:rFonts w:ascii="Times New Roman;Times;Serif" w:hAnsi="Times New Roman;Times;Serif"/>
                <w:b/>
                <w:i w:val="false"/>
                <w:caps w:val="false"/>
                <w:smallCaps w:val="false"/>
                <w:sz w:val="20"/>
              </w:rPr>
              <w:t xml:space="preserve">Palo Alto, </w:t>
            </w:r>
            <w:bookmarkStart w:id="12" w:name="xdx_907_edei--EntityAddressStateOrProvin"/>
            <w:bookmarkEnd w:id="12"/>
            <w:r>
              <w:rPr>
                <w:rFonts w:ascii="Times New Roman;Times;Serif" w:hAnsi="Times New Roman;Times;Serif"/>
                <w:b/>
                <w:i w:val="false"/>
                <w:caps w:val="false"/>
                <w:smallCaps w:val="false"/>
                <w:sz w:val="20"/>
              </w:rPr>
              <w:t>CA</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8" w:space="0" w:color="000000"/>
            </w:tcBorders>
            <w:vAlign w:val="center"/>
          </w:tcPr>
          <w:p>
            <w:pPr>
              <w:pStyle w:val="TableContents"/>
              <w:bidi w:val="0"/>
              <w:spacing w:before="0" w:after="283"/>
              <w:jc w:val="center"/>
              <w:rPr>
                <w:b/>
              </w:rPr>
            </w:pPr>
            <w:bookmarkStart w:id="13" w:name="xdx_903_edei--EntityAddressPostalZipCode"/>
            <w:bookmarkEnd w:id="13"/>
            <w:r>
              <w:rPr>
                <w:b/>
              </w:rPr>
              <w:t>94306</w:t>
            </w:r>
          </w:p>
        </w:tc>
      </w:tr>
      <w:tr>
        <w:trPr/>
        <w:tc>
          <w:tcPr>
            <w:tcW w:w="3755" w:type="dxa"/>
            <w:tcBorders/>
            <w:tcMar>
              <w:bottom w:w="0"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85" w:type="dxa"/>
            <w:tcBorders/>
            <w:tcMar>
              <w:bottom w:w="0"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(Zip Code)</w:t>
            </w:r>
          </w:p>
        </w:tc>
      </w:tr>
    </w:tbl>
    <w:p>
      <w:pPr>
        <w:pStyle w:val="TextBody"/>
        <w:bidi w:val="0"/>
        <w:spacing w:before="0" w:after="0"/>
        <w:ind w:left="0" w:right="0" w:hanging="0"/>
        <w:jc w:val="both"/>
        <w:rPr>
          <w:caps w:val="false"/>
          <w:smallCaps w:val="false"/>
        </w:rPr>
      </w:pPr>
      <w:r>
        <w:rPr>
          <w:caps w:val="false"/>
          <w:smallCaps w:val="false"/>
        </w:rPr>
        <w:t> </w:t>
      </w:r>
      <w:bookmarkStart w:id="14" w:name="xdx_908_edei--EntityAddressCityOrTown_c2"/>
      <w:bookmarkEnd w:id="14"/>
      <w:r>
        <w:rPr>
          <w:rFonts w:ascii="Times New Roman;Times;Serif" w:hAnsi="Times New Roman;Times;Serif"/>
          <w:b/>
          <w:i w:val="false"/>
          <w:caps w:val="false"/>
          <w:smallCaps w:val="false"/>
          <w:sz w:val="20"/>
        </w:rPr>
        <w:t>California</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6_edei--CityAreaCode_c20260603__20"/>
      <w:bookmarkEnd w:id="15"/>
      <w:r>
        <w:rPr>
          <w:rFonts w:ascii="Times New Roman;Times;Serif" w:hAnsi="Times New Roman;Times;Serif"/>
          <w:b/>
          <w:i w:val="false"/>
          <w:caps w:val="false"/>
          <w:smallCaps w:val="false"/>
          <w:sz w:val="20"/>
        </w:rPr>
        <w:t xml:space="preserve">(650) </w:t>
      </w:r>
      <w:bookmarkStart w:id="16" w:name="xdx_900_edei--LocalPhoneNumber_c20260603"/>
      <w:bookmarkEnd w:id="16"/>
      <w:r>
        <w:rPr>
          <w:rFonts w:ascii="Times New Roman;Times;Serif" w:hAnsi="Times New Roman;Times;Serif"/>
          <w:b/>
          <w:i w:val="false"/>
          <w:caps w:val="false"/>
          <w:smallCaps w:val="false"/>
          <w:sz w:val="20"/>
        </w:rPr>
        <w:t>785-7171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F_edei--WrittenCommunications_c202"/>
            <w:bookmarkEnd w:id="17"/>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720" w:right="0" w:hanging="72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F_edei--SolicitingMaterial_c202606"/>
            <w:bookmarkEnd w:id="18"/>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720" w:right="0" w:hanging="72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9" w:name="xdx_903_edei--PreCommencementTenderOffer"/>
            <w:bookmarkEnd w:id="19"/>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720" w:right="0" w:hanging="720"/>
        <w:jc w:val="both"/>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0" w:name="xdx_90E_edei--PreCommencementIssuerTende"/>
            <w:bookmarkEnd w:id="20"/>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17"/>
        <w:gridCol w:w="60"/>
        <w:gridCol w:w="1846"/>
        <w:gridCol w:w="60"/>
        <w:gridCol w:w="4222"/>
      </w:tblGrid>
      <w:tr>
        <w:trPr/>
        <w:tc>
          <w:tcPr>
            <w:tcW w:w="4017"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46"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222"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4017" w:type="dxa"/>
            <w:tcBorders/>
            <w:shd w:fill="CCEEFF" w:val="clear"/>
            <w:tcMar>
              <w:bottom w:w="0" w:type="dxa"/>
            </w:tcMar>
            <w:vAlign w:val="center"/>
          </w:tcPr>
          <w:p>
            <w:pPr>
              <w:pStyle w:val="TableContents"/>
              <w:bidi w:val="0"/>
              <w:spacing w:before="0" w:after="283"/>
              <w:jc w:val="center"/>
              <w:rPr/>
            </w:pPr>
            <w:bookmarkStart w:id="21" w:name="xdx_90C_edei--Security12bTitle_c20260603"/>
            <w:bookmarkEnd w:id="21"/>
            <w:r>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46" w:type="dxa"/>
            <w:tcBorders/>
            <w:shd w:fill="CCEEFF" w:val="clear"/>
            <w:tcMar>
              <w:bottom w:w="0" w:type="dxa"/>
            </w:tcMar>
            <w:vAlign w:val="center"/>
          </w:tcPr>
          <w:p>
            <w:pPr>
              <w:pStyle w:val="TableContents"/>
              <w:bidi w:val="0"/>
              <w:spacing w:before="0" w:after="283"/>
              <w:jc w:val="center"/>
              <w:rPr/>
            </w:pPr>
            <w:bookmarkStart w:id="22" w:name="xdx_903_edei--TradingSymbol_c20260603__2"/>
            <w:bookmarkEnd w:id="22"/>
            <w:r>
              <w:rPr/>
              <w:t>CXAI</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222" w:type="dxa"/>
            <w:tcBorders/>
            <w:shd w:fill="CCEEFF" w:val="clear"/>
            <w:tcMar>
              <w:bottom w:w="0" w:type="dxa"/>
            </w:tcMar>
            <w:vAlign w:val="center"/>
          </w:tcPr>
          <w:p>
            <w:pPr>
              <w:pStyle w:val="TableContents"/>
              <w:bidi w:val="0"/>
              <w:spacing w:before="0" w:after="283"/>
              <w:jc w:val="center"/>
              <w:rPr/>
            </w:pPr>
            <w:r>
              <w:rPr/>
              <w:t xml:space="preserve">The </w:t>
            </w:r>
            <w:bookmarkStart w:id="23" w:name="xdx_907_edei--SecurityExchangeName_c2026"/>
            <w:bookmarkEnd w:id="23"/>
            <w:r>
              <w:rPr/>
              <w:t>Nasdaq Stock Market LLC</w:t>
            </w:r>
          </w:p>
        </w:tc>
      </w:tr>
      <w:tr>
        <w:trPr/>
        <w:tc>
          <w:tcPr>
            <w:tcW w:w="4017" w:type="dxa"/>
            <w:tcBorders/>
            <w:shd w:fill="FFFFFF" w:val="clear"/>
            <w:tcMar>
              <w:bottom w:w="0" w:type="dxa"/>
            </w:tcMar>
            <w:vAlign w:val="center"/>
          </w:tcPr>
          <w:p>
            <w:pPr>
              <w:pStyle w:val="TableContents"/>
              <w:bidi w:val="0"/>
              <w:spacing w:before="0" w:after="283"/>
              <w:jc w:val="center"/>
              <w:rPr/>
            </w:pPr>
            <w:bookmarkStart w:id="24" w:name="xdx_903_edei--Security12bTitle_c20260603"/>
            <w:bookmarkEnd w:id="24"/>
            <w:r>
              <w:rPr/>
              <w:t>Warrants to purchase common stock</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46" w:type="dxa"/>
            <w:tcBorders/>
            <w:shd w:fill="FFFFFF" w:val="clear"/>
            <w:tcMar>
              <w:bottom w:w="0" w:type="dxa"/>
            </w:tcMar>
            <w:vAlign w:val="center"/>
          </w:tcPr>
          <w:p>
            <w:pPr>
              <w:pStyle w:val="TableContents"/>
              <w:bidi w:val="0"/>
              <w:spacing w:before="0" w:after="283"/>
              <w:jc w:val="center"/>
              <w:rPr/>
            </w:pPr>
            <w:bookmarkStart w:id="25" w:name="xdx_909_edei--TradingSymbol_c20260603__2"/>
            <w:bookmarkEnd w:id="25"/>
            <w:r>
              <w:rPr/>
              <w:t>CXAIW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22" w:type="dxa"/>
            <w:tcBorders/>
            <w:shd w:fill="FFFFFF" w:val="clear"/>
            <w:tcMar>
              <w:bottom w:w="0" w:type="dxa"/>
            </w:tcMar>
            <w:vAlign w:val="center"/>
          </w:tcPr>
          <w:p>
            <w:pPr>
              <w:pStyle w:val="TableContents"/>
              <w:bidi w:val="0"/>
              <w:spacing w:before="0" w:after="283"/>
              <w:jc w:val="center"/>
              <w:rPr/>
            </w:pPr>
            <w:r>
              <w:rPr/>
              <w:t xml:space="preserve">The </w:t>
            </w:r>
            <w:bookmarkStart w:id="26" w:name="xdx_900_edei--SecurityExchangeName_c2026"/>
            <w:bookmarkEnd w:id="26"/>
            <w:r>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7" w:name="xdx_90A_edei--EntityEmergingGrowthCompan"/>
      <w:bookmarkEnd w:id="27"/>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jc w:val="both"/>
        <w:rPr>
          <w:caps w:val="false"/>
          <w:smallCaps w:val="false"/>
        </w:rPr>
      </w:pPr>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by CXApp Inc. (“CXAI” or the “Company”) in a Current Report on Form 8-K filed with the Securities and Exchange Commission (the “Commission”) on June 3, 2026 (the “Prior 8-K”), the Company’s wholly owned subsidiary, CXAI Australia Pty Ltd (“CXAI Australia”), entered into a Share Sale Deed, dated as of June 3, 2026, with Virtus Digital Marketing Pty Ltd dba Engine Room Applications (“EngineRoom”), pursuant to which CXAI Australia acquired 100% of the issued and outstanding equity interests of EngineRoom (the “Transaction”). The Transaction closed on June 3,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completion of the Company’s acquisition accounting procedures and further review of the Transaction, including updated valuation and financial information, the Company determined that the Transaction does not meet the applicable quantitative significance thresholds requiring the filing of separate historical financial statements of EngineRoom or pro forma financial information relating to the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EngineRoom’s financial results from the date of acquisition have been included in the Company’s unaudited condensed consolidated financial statements for the quarter ended June 30, 2026, filed with the Company’s Quarterly Report on Form 10-Q. Those consolidated financial statements were subject to the Company’s customary quarterly financial reporting and review procedures.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although separate historical financial statements of EngineRoom and separate pro forma financial information are not required to be filed under the applicable SEC rules, EngineRoom’s post-acquisition financial results are reflected in CXAI’s consolidated financial reporting.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regarding the applicable SEC significance thresholds relates solely to the separate financial statement and pro forma filing requirements and does not change the terms of the Transaction, CXAI’s ownership of EngineRoom, or the strategic rationale for and ongoing integration of EngineRoom into the Company’s business.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815"/>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w:t>
            </w:r>
          </w:p>
        </w:tc>
        <w:tc>
          <w:tcPr>
            <w:tcW w:w="42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 of Acquisition or Disposition of Assets.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completion of its analysis of the Transaction based on updated valuation and financial information, the Company determined that the Transaction does not meet the applicable quantitative significance thresholds under Item 2.01 of Form 8-K.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no additional disclosure is required under Item 2.01 with respect to the Transaction.</w:t>
      </w:r>
    </w:p>
    <w:p>
      <w:pPr>
        <w:pStyle w:val="TextBody"/>
        <w:bidi w:val="0"/>
        <w:spacing w:before="0" w:after="0"/>
        <w:jc w:val="both"/>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815"/>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referenced in Item 2.01 above, the Company has determined that the Transaction does not involve a significant amount of assets for purposes of Item 2.01 of Form 8-K. Accordingly, the Company is not required to disclose, and will no longer provide, the financial statements or pro forma financial information that the Prior 8-K indicated would be filed by amendment, if applicable, within the time period permitted by applicable SEC rules.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Financial statements of businesses acquired.</w:t>
      </w:r>
      <w:r>
        <w:rPr>
          <w:rFonts w:ascii="Times New Roman;Times;Serif" w:hAnsi="Times New Roman;Times;Serif"/>
          <w:b w:val="false"/>
          <w:i w:val="false"/>
          <w:caps w:val="false"/>
          <w:smallCaps w:val="false"/>
          <w:sz w:val="20"/>
        </w:rPr>
        <w:t xml:space="preserve"> 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Pro forma financial information.</w:t>
      </w:r>
      <w:r>
        <w:rPr>
          <w:rFonts w:ascii="Times New Roman;Times;Serif" w:hAnsi="Times New Roman;Times;Serif"/>
          <w:b w:val="false"/>
          <w:i w:val="false"/>
          <w:caps w:val="false"/>
          <w:smallCaps w:val="false"/>
          <w:sz w:val="20"/>
        </w:rPr>
        <w:t xml:space="preserve"> 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Exhibits.</w:t>
      </w:r>
      <w:r>
        <w:rPr>
          <w:rFonts w:ascii="Times New Roman;Times;Serif" w:hAnsi="Times New Roman;Times;Serif"/>
          <w:b w:val="false"/>
          <w:i w:val="false"/>
          <w:caps w:val="false"/>
          <w:smallCaps w:val="false"/>
          <w:sz w:val="20"/>
        </w:rPr>
        <w:t xml:space="preserve"> The exhibit index to the Prior 8-K is unchanged. No additional exhibits are filed with this Amendment.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550" w:type="dxa"/>
        <w:jc w:val="left"/>
        <w:tblInd w:w="0" w:type="dxa"/>
        <w:tblLayout w:type="fixed"/>
        <w:tblCellMar>
          <w:top w:w="0" w:type="dxa"/>
          <w:left w:w="0" w:type="dxa"/>
          <w:bottom w:w="0" w:type="dxa"/>
          <w:right w:w="0" w:type="dxa"/>
        </w:tblCellMar>
      </w:tblPr>
      <w:tblGrid>
        <w:gridCol w:w="1865"/>
        <w:gridCol w:w="545"/>
        <w:gridCol w:w="3140"/>
      </w:tblGrid>
      <w:tr>
        <w:trPr/>
        <w:tc>
          <w:tcPr>
            <w:tcW w:w="186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rPr>
            </w:pPr>
            <w:r>
              <w:rPr>
                <w:b/>
              </w:rPr>
              <w:t>CXApp Inc.</w:t>
            </w:r>
          </w:p>
        </w:tc>
      </w:tr>
      <w:tr>
        <w:trPr/>
        <w:tc>
          <w:tcPr>
            <w:tcW w:w="186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19,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Khurram P. Sheikh</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Khurram P. Sheikh</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831</Words>
  <Characters>4769</Characters>
  <CharactersWithSpaces>5597</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